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110"/>
        <w:rPr>
          <w:rFonts w:ascii="Times New Roman"/>
          <w:sz w:val="20"/>
        </w:rPr>
      </w:pPr>
      <w:r>
        <w:rPr>
          <w:rFonts w:ascii="Times New Roman"/>
          <w:sz w:val="20"/>
        </w:rPr>
        <w:pict>
          <v:group style="width:785.8pt;height:75.3pt;mso-position-horizontal-relative:char;mso-position-vertical-relative:line" id="docshapegroup1" coordorigin="0,0" coordsize="15716,1506">
            <v:shape style="position:absolute;left:0;top:0;width:15716;height:1506" id="docshape2" coordorigin="0,0" coordsize="15716,1506" path="m15715,0l15655,0,60,0,0,0,0,60,0,752,0,1446,0,1506,60,1506,15655,1506,15715,1506,15715,1446,15715,752,15715,60,15715,0xe" filled="true" fillcolor="#1d5f76" stroked="false">
              <v:path arrowok="t"/>
              <v:fill type="solid"/>
            </v:shape>
            <v:shapetype id="_x0000_t202" o:spt="202" coordsize="21600,21600" path="m,l,21600r21600,l21600,xe">
              <v:stroke joinstyle="miter"/>
              <v:path gradientshapeok="t" o:connecttype="rect"/>
            </v:shapetype>
            <v:shape style="position:absolute;left:0;top:0;width:15716;height:1506" type="#_x0000_t202" id="docshape3" filled="false" stroked="false">
              <v:textbox inset="0,0,0,0">
                <w:txbxContent>
                  <w:p>
                    <w:pPr>
                      <w:spacing w:before="80"/>
                      <w:ind w:left="3456" w:right="3457" w:firstLine="0"/>
                      <w:jc w:val="center"/>
                      <w:rPr>
                        <w:rFonts w:ascii="Corbel"/>
                        <w:sz w:val="48"/>
                      </w:rPr>
                    </w:pPr>
                    <w:bookmarkStart w:name="The Ladder of Engagement Cross Checking " w:id="1"/>
                    <w:bookmarkEnd w:id="1"/>
                    <w:r>
                      <w:rPr/>
                    </w:r>
                    <w:r>
                      <w:rPr>
                        <w:rFonts w:ascii="Corbel"/>
                        <w:color w:val="FFFFFF"/>
                        <w:sz w:val="48"/>
                      </w:rPr>
                      <w:t>The</w:t>
                    </w:r>
                    <w:r>
                      <w:rPr>
                        <w:rFonts w:ascii="Corbel"/>
                        <w:color w:val="FFFFFF"/>
                        <w:spacing w:val="-4"/>
                        <w:sz w:val="48"/>
                      </w:rPr>
                      <w:t> </w:t>
                    </w:r>
                    <w:r>
                      <w:rPr>
                        <w:rFonts w:ascii="Corbel"/>
                        <w:color w:val="FFFFFF"/>
                        <w:sz w:val="48"/>
                      </w:rPr>
                      <w:t>Ladder</w:t>
                    </w:r>
                    <w:r>
                      <w:rPr>
                        <w:rFonts w:ascii="Corbel"/>
                        <w:color w:val="FFFFFF"/>
                        <w:spacing w:val="-3"/>
                        <w:sz w:val="48"/>
                      </w:rPr>
                      <w:t> </w:t>
                    </w:r>
                    <w:r>
                      <w:rPr>
                        <w:rFonts w:ascii="Corbel"/>
                        <w:color w:val="FFFFFF"/>
                        <w:sz w:val="48"/>
                      </w:rPr>
                      <w:t>of</w:t>
                    </w:r>
                    <w:r>
                      <w:rPr>
                        <w:rFonts w:ascii="Corbel"/>
                        <w:color w:val="FFFFFF"/>
                        <w:spacing w:val="-3"/>
                        <w:sz w:val="48"/>
                      </w:rPr>
                      <w:t> </w:t>
                    </w:r>
                    <w:r>
                      <w:rPr>
                        <w:rFonts w:ascii="Corbel"/>
                        <w:color w:val="FFFFFF"/>
                        <w:spacing w:val="-2"/>
                        <w:sz w:val="48"/>
                      </w:rPr>
                      <w:t>Engagement</w:t>
                    </w:r>
                  </w:p>
                  <w:p>
                    <w:pPr>
                      <w:spacing w:before="88"/>
                      <w:ind w:left="3456" w:right="3460" w:firstLine="0"/>
                      <w:jc w:val="center"/>
                      <w:rPr>
                        <w:rFonts w:ascii="Corbel"/>
                        <w:sz w:val="48"/>
                      </w:rPr>
                    </w:pPr>
                    <w:r>
                      <w:rPr>
                        <w:rFonts w:ascii="Corbel"/>
                        <w:color w:val="FFFFFF"/>
                        <w:sz w:val="48"/>
                      </w:rPr>
                      <w:t>Cross</w:t>
                    </w:r>
                    <w:r>
                      <w:rPr>
                        <w:rFonts w:ascii="Corbel"/>
                        <w:color w:val="FFFFFF"/>
                        <w:spacing w:val="-7"/>
                        <w:sz w:val="48"/>
                      </w:rPr>
                      <w:t> </w:t>
                    </w:r>
                    <w:r>
                      <w:rPr>
                        <w:rFonts w:ascii="Corbel"/>
                        <w:color w:val="FFFFFF"/>
                        <w:sz w:val="48"/>
                      </w:rPr>
                      <w:t>Checking</w:t>
                    </w:r>
                    <w:r>
                      <w:rPr>
                        <w:rFonts w:ascii="Corbel"/>
                        <w:color w:val="FFFFFF"/>
                        <w:spacing w:val="-5"/>
                        <w:sz w:val="48"/>
                      </w:rPr>
                      <w:t> </w:t>
                    </w:r>
                    <w:r>
                      <w:rPr>
                        <w:rFonts w:ascii="Corbel"/>
                        <w:color w:val="FFFFFF"/>
                        <w:sz w:val="48"/>
                      </w:rPr>
                      <w:t>Professional</w:t>
                    </w:r>
                    <w:r>
                      <w:rPr>
                        <w:rFonts w:ascii="Corbel"/>
                        <w:color w:val="FFFFFF"/>
                        <w:spacing w:val="-5"/>
                        <w:sz w:val="48"/>
                      </w:rPr>
                      <w:t> </w:t>
                    </w:r>
                    <w:r>
                      <w:rPr>
                        <w:rFonts w:ascii="Corbel"/>
                        <w:color w:val="FFFFFF"/>
                        <w:spacing w:val="-2"/>
                        <w:sz w:val="48"/>
                      </w:rPr>
                      <w:t>Understandings</w:t>
                    </w:r>
                  </w:p>
                </w:txbxContent>
              </v:textbox>
              <w10:wrap type="none"/>
            </v:shape>
          </v:group>
        </w:pict>
      </w:r>
      <w:r>
        <w:rPr>
          <w:rFonts w:ascii="Times New Roman"/>
          <w:sz w:val="20"/>
        </w:rPr>
      </w:r>
    </w:p>
    <w:p>
      <w:pPr>
        <w:pStyle w:val="BodyText"/>
        <w:spacing w:before="8"/>
        <w:rPr>
          <w:rFonts w:ascii="Times New Roman"/>
          <w:sz w:val="12"/>
        </w:rPr>
      </w:pPr>
    </w:p>
    <w:p>
      <w:pPr>
        <w:pStyle w:val="BodyText"/>
        <w:spacing w:line="326" w:lineRule="auto" w:before="132"/>
        <w:ind w:left="280" w:right="287"/>
      </w:pPr>
      <w:r>
        <w:rPr>
          <w:w w:val="105"/>
        </w:rPr>
        <w:t>Once</w:t>
      </w:r>
      <w:r>
        <w:rPr>
          <w:spacing w:val="-4"/>
          <w:w w:val="105"/>
        </w:rPr>
        <w:t> </w:t>
      </w:r>
      <w:r>
        <w:rPr>
          <w:w w:val="105"/>
        </w:rPr>
        <w:t>the</w:t>
      </w:r>
      <w:r>
        <w:rPr>
          <w:spacing w:val="-4"/>
          <w:w w:val="105"/>
        </w:rPr>
        <w:t> </w:t>
      </w:r>
      <w:r>
        <w:rPr>
          <w:w w:val="105"/>
        </w:rPr>
        <w:t>engagement</w:t>
      </w:r>
      <w:r>
        <w:rPr>
          <w:spacing w:val="-3"/>
          <w:w w:val="105"/>
        </w:rPr>
        <w:t> </w:t>
      </w:r>
      <w:r>
        <w:rPr>
          <w:w w:val="105"/>
        </w:rPr>
        <w:t>audits</w:t>
      </w:r>
      <w:r>
        <w:rPr>
          <w:spacing w:val="-4"/>
          <w:w w:val="105"/>
        </w:rPr>
        <w:t> </w:t>
      </w:r>
      <w:r>
        <w:rPr>
          <w:w w:val="105"/>
        </w:rPr>
        <w:t>have</w:t>
      </w:r>
      <w:r>
        <w:rPr>
          <w:spacing w:val="-4"/>
          <w:w w:val="105"/>
        </w:rPr>
        <w:t> </w:t>
      </w:r>
      <w:r>
        <w:rPr>
          <w:w w:val="105"/>
        </w:rPr>
        <w:t>been</w:t>
      </w:r>
      <w:r>
        <w:rPr>
          <w:spacing w:val="-4"/>
          <w:w w:val="105"/>
        </w:rPr>
        <w:t> </w:t>
      </w:r>
      <w:r>
        <w:rPr>
          <w:w w:val="105"/>
        </w:rPr>
        <w:t>conducted,</w:t>
      </w:r>
      <w:r>
        <w:rPr>
          <w:spacing w:val="-5"/>
          <w:w w:val="105"/>
        </w:rPr>
        <w:t> </w:t>
      </w:r>
      <w:r>
        <w:rPr>
          <w:w w:val="105"/>
        </w:rPr>
        <w:t>it</w:t>
      </w:r>
      <w:r>
        <w:rPr>
          <w:spacing w:val="-4"/>
          <w:w w:val="105"/>
        </w:rPr>
        <w:t> </w:t>
      </w:r>
      <w:r>
        <w:rPr>
          <w:w w:val="105"/>
        </w:rPr>
        <w:t>is</w:t>
      </w:r>
      <w:r>
        <w:rPr>
          <w:spacing w:val="-4"/>
          <w:w w:val="105"/>
        </w:rPr>
        <w:t> </w:t>
      </w:r>
      <w:r>
        <w:rPr>
          <w:w w:val="105"/>
        </w:rPr>
        <w:t>essential</w:t>
      </w:r>
      <w:r>
        <w:rPr>
          <w:spacing w:val="-3"/>
          <w:w w:val="105"/>
        </w:rPr>
        <w:t> </w:t>
      </w:r>
      <w:r>
        <w:rPr>
          <w:w w:val="105"/>
        </w:rPr>
        <w:t>to</w:t>
      </w:r>
      <w:r>
        <w:rPr>
          <w:spacing w:val="-4"/>
          <w:w w:val="105"/>
        </w:rPr>
        <w:t> </w:t>
      </w:r>
      <w:r>
        <w:rPr>
          <w:w w:val="105"/>
        </w:rPr>
        <w:t>keep</w:t>
      </w:r>
      <w:r>
        <w:rPr>
          <w:spacing w:val="-3"/>
          <w:w w:val="105"/>
        </w:rPr>
        <w:t> </w:t>
      </w:r>
      <w:r>
        <w:rPr>
          <w:w w:val="105"/>
        </w:rPr>
        <w:t>cross</w:t>
      </w:r>
      <w:r>
        <w:rPr>
          <w:spacing w:val="-4"/>
          <w:w w:val="105"/>
        </w:rPr>
        <w:t> </w:t>
      </w:r>
      <w:r>
        <w:rPr>
          <w:w w:val="105"/>
        </w:rPr>
        <w:t>checking</w:t>
      </w:r>
      <w:r>
        <w:rPr>
          <w:spacing w:val="-4"/>
          <w:w w:val="105"/>
        </w:rPr>
        <w:t> </w:t>
      </w:r>
      <w:r>
        <w:rPr>
          <w:w w:val="105"/>
        </w:rPr>
        <w:t>professional</w:t>
      </w:r>
      <w:r>
        <w:rPr>
          <w:spacing w:val="-3"/>
          <w:w w:val="105"/>
        </w:rPr>
        <w:t> </w:t>
      </w:r>
      <w:r>
        <w:rPr>
          <w:w w:val="105"/>
        </w:rPr>
        <w:t>perceptions</w:t>
      </w:r>
      <w:r>
        <w:rPr>
          <w:spacing w:val="-4"/>
          <w:w w:val="105"/>
        </w:rPr>
        <w:t> </w:t>
      </w:r>
      <w:r>
        <w:rPr>
          <w:w w:val="105"/>
        </w:rPr>
        <w:t>of</w:t>
      </w:r>
      <w:r>
        <w:rPr>
          <w:spacing w:val="-5"/>
          <w:w w:val="105"/>
        </w:rPr>
        <w:t> </w:t>
      </w:r>
      <w:r>
        <w:rPr>
          <w:w w:val="105"/>
        </w:rPr>
        <w:t>community engagement with community members themselves, to understand whether they share the same perspectives on engagement.</w:t>
      </w:r>
    </w:p>
    <w:p>
      <w:pPr>
        <w:pStyle w:val="BodyText"/>
        <w:spacing w:line="326" w:lineRule="auto" w:before="201"/>
        <w:ind w:left="280" w:right="287"/>
      </w:pPr>
      <w:r>
        <w:rPr>
          <w:w w:val="105"/>
        </w:rPr>
        <w:t>In this way project planning can start to take into account any similarities between professional and community understandings, acknowledge and discuss contrasts in preferred engagement approaches or understandings that emerge, and to find opportunities to query why such similarities and differences may be occurring.</w:t>
      </w:r>
    </w:p>
    <w:p>
      <w:pPr>
        <w:pStyle w:val="Title"/>
      </w:pPr>
      <w:bookmarkStart w:name="Using the Ladder of Engagement is a help" w:id="2"/>
      <w:bookmarkEnd w:id="2"/>
      <w:r>
        <w:rPr>
          <w:b w:val="0"/>
        </w:rPr>
      </w:r>
      <w:r>
        <w:rPr>
          <w:color w:val="1D5F76"/>
        </w:rPr>
        <w:t>Using</w:t>
      </w:r>
      <w:r>
        <w:rPr>
          <w:color w:val="1D5F76"/>
          <w:spacing w:val="-5"/>
        </w:rPr>
        <w:t> </w:t>
      </w:r>
      <w:r>
        <w:rPr>
          <w:color w:val="1D5F76"/>
        </w:rPr>
        <w:t>the</w:t>
      </w:r>
      <w:r>
        <w:rPr>
          <w:color w:val="1D5F76"/>
          <w:spacing w:val="-2"/>
        </w:rPr>
        <w:t> </w:t>
      </w:r>
      <w:r>
        <w:rPr>
          <w:color w:val="1D5F76"/>
        </w:rPr>
        <w:t>Ladder</w:t>
      </w:r>
      <w:r>
        <w:rPr>
          <w:color w:val="1D5F76"/>
          <w:spacing w:val="-4"/>
        </w:rPr>
        <w:t> </w:t>
      </w:r>
      <w:r>
        <w:rPr>
          <w:color w:val="1D5F76"/>
        </w:rPr>
        <w:t>of</w:t>
      </w:r>
      <w:r>
        <w:rPr>
          <w:color w:val="1D5F76"/>
          <w:spacing w:val="-3"/>
        </w:rPr>
        <w:t> </w:t>
      </w:r>
      <w:r>
        <w:rPr>
          <w:color w:val="1D5F76"/>
        </w:rPr>
        <w:t>Engagement</w:t>
      </w:r>
      <w:r>
        <w:rPr>
          <w:color w:val="1D5F76"/>
          <w:spacing w:val="-4"/>
        </w:rPr>
        <w:t> </w:t>
      </w:r>
      <w:r>
        <w:rPr>
          <w:color w:val="1D5F76"/>
        </w:rPr>
        <w:t>is</w:t>
      </w:r>
      <w:r>
        <w:rPr>
          <w:color w:val="1D5F76"/>
          <w:spacing w:val="-3"/>
        </w:rPr>
        <w:t> </w:t>
      </w:r>
      <w:r>
        <w:rPr>
          <w:color w:val="1D5F76"/>
        </w:rPr>
        <w:t>a</w:t>
      </w:r>
      <w:r>
        <w:rPr>
          <w:color w:val="1D5F76"/>
          <w:spacing w:val="-3"/>
        </w:rPr>
        <w:t> </w:t>
      </w:r>
      <w:r>
        <w:rPr>
          <w:color w:val="1D5F76"/>
        </w:rPr>
        <w:t>helpful</w:t>
      </w:r>
      <w:r>
        <w:rPr>
          <w:color w:val="1D5F76"/>
          <w:spacing w:val="-4"/>
        </w:rPr>
        <w:t> </w:t>
      </w:r>
      <w:r>
        <w:rPr>
          <w:color w:val="1D5F76"/>
        </w:rPr>
        <w:t>tool</w:t>
      </w:r>
      <w:r>
        <w:rPr>
          <w:color w:val="1D5F76"/>
          <w:spacing w:val="-3"/>
        </w:rPr>
        <w:t> </w:t>
      </w:r>
      <w:r>
        <w:rPr>
          <w:color w:val="1D5F76"/>
        </w:rPr>
        <w:t>in</w:t>
      </w:r>
      <w:r>
        <w:rPr>
          <w:color w:val="1D5F76"/>
          <w:spacing w:val="-5"/>
        </w:rPr>
        <w:t> </w:t>
      </w:r>
      <w:r>
        <w:rPr>
          <w:color w:val="1D5F76"/>
        </w:rPr>
        <w:t>beginning</w:t>
      </w:r>
      <w:r>
        <w:rPr>
          <w:color w:val="1D5F76"/>
          <w:spacing w:val="-2"/>
        </w:rPr>
        <w:t> </w:t>
      </w:r>
      <w:r>
        <w:rPr>
          <w:color w:val="1D5F76"/>
        </w:rPr>
        <w:t>this</w:t>
      </w:r>
      <w:r>
        <w:rPr>
          <w:color w:val="1D5F76"/>
          <w:spacing w:val="-3"/>
        </w:rPr>
        <w:t> </w:t>
      </w:r>
      <w:r>
        <w:rPr>
          <w:color w:val="1D5F76"/>
          <w:spacing w:val="-2"/>
        </w:rPr>
        <w:t>process.</w:t>
      </w:r>
    </w:p>
    <w:p>
      <w:pPr>
        <w:pStyle w:val="ListParagraph"/>
        <w:numPr>
          <w:ilvl w:val="0"/>
          <w:numId w:val="1"/>
        </w:numPr>
        <w:tabs>
          <w:tab w:pos="1081" w:val="left" w:leader="none"/>
        </w:tabs>
        <w:spacing w:line="302" w:lineRule="auto" w:before="231" w:after="0"/>
        <w:ind w:left="1080" w:right="282" w:hanging="360"/>
        <w:jc w:val="left"/>
        <w:rPr>
          <w:sz w:val="24"/>
        </w:rPr>
      </w:pPr>
      <w:r>
        <w:rPr>
          <w:w w:val="105"/>
          <w:sz w:val="24"/>
        </w:rPr>
        <w:t>The activity counteracts a criticism that it remains the professionals themselves who discuss the ladder of participation and debate where work needs to be done on the ladder (Bovaird and Loeffler, 2012).</w:t>
      </w:r>
    </w:p>
    <w:p>
      <w:pPr>
        <w:pStyle w:val="ListParagraph"/>
        <w:numPr>
          <w:ilvl w:val="0"/>
          <w:numId w:val="1"/>
        </w:numPr>
        <w:tabs>
          <w:tab w:pos="1081" w:val="left" w:leader="none"/>
        </w:tabs>
        <w:spacing w:line="302" w:lineRule="auto" w:before="154" w:after="0"/>
        <w:ind w:left="1080" w:right="703" w:hanging="360"/>
        <w:jc w:val="left"/>
        <w:rPr>
          <w:sz w:val="24"/>
        </w:rPr>
      </w:pPr>
      <w:r>
        <w:rPr>
          <w:w w:val="105"/>
          <w:sz w:val="24"/>
        </w:rPr>
        <w:t>After</w:t>
      </w:r>
      <w:r>
        <w:rPr>
          <w:spacing w:val="-1"/>
          <w:w w:val="105"/>
          <w:sz w:val="24"/>
        </w:rPr>
        <w:t> </w:t>
      </w:r>
      <w:r>
        <w:rPr>
          <w:w w:val="105"/>
          <w:sz w:val="24"/>
        </w:rPr>
        <w:t>professionals have carried out</w:t>
      </w:r>
      <w:r>
        <w:rPr>
          <w:spacing w:val="-1"/>
          <w:w w:val="105"/>
          <w:sz w:val="24"/>
        </w:rPr>
        <w:t> </w:t>
      </w:r>
      <w:r>
        <w:rPr>
          <w:w w:val="105"/>
          <w:sz w:val="24"/>
        </w:rPr>
        <w:t>this</w:t>
      </w:r>
      <w:r>
        <w:rPr>
          <w:spacing w:val="-1"/>
          <w:w w:val="105"/>
          <w:sz w:val="24"/>
        </w:rPr>
        <w:t> </w:t>
      </w:r>
      <w:r>
        <w:rPr>
          <w:w w:val="105"/>
          <w:sz w:val="24"/>
        </w:rPr>
        <w:t>activity, stakeholders are asked to</w:t>
      </w:r>
      <w:r>
        <w:rPr>
          <w:spacing w:val="-1"/>
          <w:w w:val="105"/>
          <w:sz w:val="24"/>
        </w:rPr>
        <w:t> </w:t>
      </w:r>
      <w:r>
        <w:rPr>
          <w:w w:val="105"/>
          <w:sz w:val="24"/>
        </w:rPr>
        <w:t>place their</w:t>
      </w:r>
      <w:r>
        <w:rPr>
          <w:spacing w:val="-1"/>
          <w:w w:val="105"/>
          <w:sz w:val="24"/>
        </w:rPr>
        <w:t> </w:t>
      </w:r>
      <w:r>
        <w:rPr>
          <w:w w:val="105"/>
          <w:sz w:val="24"/>
        </w:rPr>
        <w:t>different engagement experiences on an ‘engagement ladder’.</w:t>
      </w:r>
    </w:p>
    <w:p>
      <w:pPr>
        <w:pStyle w:val="ListParagraph"/>
        <w:numPr>
          <w:ilvl w:val="0"/>
          <w:numId w:val="1"/>
        </w:numPr>
        <w:tabs>
          <w:tab w:pos="1081" w:val="left" w:leader="none"/>
        </w:tabs>
        <w:spacing w:line="302" w:lineRule="auto" w:before="156" w:after="0"/>
        <w:ind w:left="1080" w:right="673" w:hanging="360"/>
        <w:jc w:val="left"/>
        <w:rPr>
          <w:sz w:val="24"/>
        </w:rPr>
      </w:pPr>
      <w:r>
        <w:rPr>
          <w:w w:val="105"/>
          <w:sz w:val="24"/>
        </w:rPr>
        <w:t>The</w:t>
      </w:r>
      <w:r>
        <w:rPr>
          <w:spacing w:val="-4"/>
          <w:w w:val="105"/>
          <w:sz w:val="24"/>
        </w:rPr>
        <w:t> </w:t>
      </w:r>
      <w:r>
        <w:rPr>
          <w:w w:val="105"/>
          <w:sz w:val="24"/>
        </w:rPr>
        <w:t>activity</w:t>
      </w:r>
      <w:r>
        <w:rPr>
          <w:spacing w:val="-4"/>
          <w:w w:val="105"/>
          <w:sz w:val="24"/>
        </w:rPr>
        <w:t> </w:t>
      </w:r>
      <w:r>
        <w:rPr>
          <w:w w:val="105"/>
          <w:sz w:val="24"/>
        </w:rPr>
        <w:t>is</w:t>
      </w:r>
      <w:r>
        <w:rPr>
          <w:spacing w:val="-4"/>
          <w:w w:val="105"/>
          <w:sz w:val="24"/>
        </w:rPr>
        <w:t> </w:t>
      </w:r>
      <w:r>
        <w:rPr>
          <w:w w:val="105"/>
          <w:sz w:val="24"/>
        </w:rPr>
        <w:t>designed</w:t>
      </w:r>
      <w:r>
        <w:rPr>
          <w:spacing w:val="-3"/>
          <w:w w:val="105"/>
          <w:sz w:val="24"/>
        </w:rPr>
        <w:t> </w:t>
      </w:r>
      <w:r>
        <w:rPr>
          <w:w w:val="105"/>
          <w:sz w:val="24"/>
        </w:rPr>
        <w:t>so</w:t>
      </w:r>
      <w:r>
        <w:rPr>
          <w:spacing w:val="-4"/>
          <w:w w:val="105"/>
          <w:sz w:val="24"/>
        </w:rPr>
        <w:t> </w:t>
      </w:r>
      <w:r>
        <w:rPr>
          <w:w w:val="105"/>
          <w:sz w:val="24"/>
        </w:rPr>
        <w:t>that</w:t>
      </w:r>
      <w:r>
        <w:rPr>
          <w:spacing w:val="-5"/>
          <w:w w:val="105"/>
          <w:sz w:val="24"/>
        </w:rPr>
        <w:t> </w:t>
      </w:r>
      <w:r>
        <w:rPr>
          <w:w w:val="105"/>
          <w:sz w:val="24"/>
        </w:rPr>
        <w:t>the</w:t>
      </w:r>
      <w:r>
        <w:rPr>
          <w:spacing w:val="-4"/>
          <w:w w:val="105"/>
          <w:sz w:val="24"/>
        </w:rPr>
        <w:t> </w:t>
      </w:r>
      <w:r>
        <w:rPr>
          <w:w w:val="105"/>
          <w:sz w:val="24"/>
        </w:rPr>
        <w:t>participants</w:t>
      </w:r>
      <w:r>
        <w:rPr>
          <w:spacing w:val="-4"/>
          <w:w w:val="105"/>
          <w:sz w:val="24"/>
        </w:rPr>
        <w:t> </w:t>
      </w:r>
      <w:r>
        <w:rPr>
          <w:w w:val="105"/>
          <w:sz w:val="24"/>
        </w:rPr>
        <w:t>themselves</w:t>
      </w:r>
      <w:r>
        <w:rPr>
          <w:spacing w:val="-4"/>
          <w:w w:val="105"/>
          <w:sz w:val="24"/>
        </w:rPr>
        <w:t> </w:t>
      </w:r>
      <w:r>
        <w:rPr>
          <w:w w:val="105"/>
          <w:sz w:val="24"/>
        </w:rPr>
        <w:t>can</w:t>
      </w:r>
      <w:r>
        <w:rPr>
          <w:spacing w:val="-3"/>
          <w:w w:val="105"/>
          <w:sz w:val="24"/>
        </w:rPr>
        <w:t> </w:t>
      </w:r>
      <w:r>
        <w:rPr>
          <w:w w:val="105"/>
          <w:sz w:val="24"/>
        </w:rPr>
        <w:t>discuss</w:t>
      </w:r>
      <w:r>
        <w:rPr>
          <w:spacing w:val="-4"/>
          <w:w w:val="105"/>
          <w:sz w:val="24"/>
        </w:rPr>
        <w:t> </w:t>
      </w:r>
      <w:r>
        <w:rPr>
          <w:w w:val="105"/>
          <w:sz w:val="24"/>
        </w:rPr>
        <w:t>and</w:t>
      </w:r>
      <w:r>
        <w:rPr>
          <w:spacing w:val="-3"/>
          <w:w w:val="105"/>
          <w:sz w:val="24"/>
        </w:rPr>
        <w:t> </w:t>
      </w:r>
      <w:r>
        <w:rPr>
          <w:w w:val="105"/>
          <w:sz w:val="24"/>
        </w:rPr>
        <w:t>interact</w:t>
      </w:r>
      <w:r>
        <w:rPr>
          <w:spacing w:val="-4"/>
          <w:w w:val="105"/>
          <w:sz w:val="24"/>
        </w:rPr>
        <w:t> </w:t>
      </w:r>
      <w:r>
        <w:rPr>
          <w:w w:val="105"/>
          <w:sz w:val="24"/>
        </w:rPr>
        <w:t>with</w:t>
      </w:r>
      <w:r>
        <w:rPr>
          <w:spacing w:val="-3"/>
          <w:w w:val="105"/>
          <w:sz w:val="24"/>
        </w:rPr>
        <w:t> </w:t>
      </w:r>
      <w:r>
        <w:rPr>
          <w:w w:val="105"/>
          <w:sz w:val="24"/>
        </w:rPr>
        <w:t>the</w:t>
      </w:r>
      <w:r>
        <w:rPr>
          <w:spacing w:val="-5"/>
          <w:w w:val="105"/>
          <w:sz w:val="24"/>
        </w:rPr>
        <w:t> </w:t>
      </w:r>
      <w:r>
        <w:rPr>
          <w:w w:val="105"/>
          <w:sz w:val="24"/>
        </w:rPr>
        <w:t>ladder</w:t>
      </w:r>
      <w:r>
        <w:rPr>
          <w:spacing w:val="-3"/>
          <w:w w:val="105"/>
          <w:sz w:val="24"/>
        </w:rPr>
        <w:t> </w:t>
      </w:r>
      <w:r>
        <w:rPr>
          <w:w w:val="105"/>
          <w:sz w:val="24"/>
        </w:rPr>
        <w:t>–</w:t>
      </w:r>
      <w:r>
        <w:rPr>
          <w:spacing w:val="-4"/>
          <w:w w:val="105"/>
          <w:sz w:val="24"/>
        </w:rPr>
        <w:t> </w:t>
      </w:r>
      <w:r>
        <w:rPr>
          <w:w w:val="105"/>
          <w:sz w:val="24"/>
        </w:rPr>
        <w:t>and</w:t>
      </w:r>
      <w:r>
        <w:rPr>
          <w:spacing w:val="-4"/>
          <w:w w:val="105"/>
          <w:sz w:val="24"/>
        </w:rPr>
        <w:t> </w:t>
      </w:r>
      <w:r>
        <w:rPr>
          <w:w w:val="105"/>
          <w:sz w:val="24"/>
        </w:rPr>
        <w:t>make</w:t>
      </w:r>
      <w:r>
        <w:rPr>
          <w:spacing w:val="-4"/>
          <w:w w:val="105"/>
          <w:sz w:val="24"/>
        </w:rPr>
        <w:t> </w:t>
      </w:r>
      <w:r>
        <w:rPr>
          <w:w w:val="105"/>
          <w:sz w:val="24"/>
        </w:rPr>
        <w:t>suggestions</w:t>
      </w:r>
      <w:r>
        <w:rPr>
          <w:spacing w:val="-4"/>
          <w:w w:val="105"/>
          <w:sz w:val="24"/>
        </w:rPr>
        <w:t> </w:t>
      </w:r>
      <w:r>
        <w:rPr>
          <w:w w:val="105"/>
          <w:sz w:val="24"/>
        </w:rPr>
        <w:t>for </w:t>
      </w:r>
      <w:r>
        <w:rPr>
          <w:spacing w:val="-2"/>
          <w:w w:val="110"/>
          <w:sz w:val="24"/>
        </w:rPr>
        <w:t>change.</w:t>
      </w:r>
    </w:p>
    <w:p>
      <w:pPr>
        <w:pStyle w:val="ListParagraph"/>
        <w:numPr>
          <w:ilvl w:val="0"/>
          <w:numId w:val="1"/>
        </w:numPr>
        <w:tabs>
          <w:tab w:pos="1081" w:val="left" w:leader="none"/>
        </w:tabs>
        <w:spacing w:line="314" w:lineRule="auto" w:before="154" w:after="0"/>
        <w:ind w:left="1080" w:right="711" w:hanging="360"/>
        <w:jc w:val="left"/>
        <w:rPr>
          <w:sz w:val="24"/>
        </w:rPr>
      </w:pPr>
      <w:r>
        <w:rPr>
          <w:w w:val="105"/>
          <w:sz w:val="24"/>
        </w:rPr>
        <w:t>The activity generates a range of professional and community member responses, with all the associated shared insights and perspectives that this involves and starts the thinking process about what changes in strategy and practice could support more relational approaches.</w:t>
      </w:r>
    </w:p>
    <w:p>
      <w:pPr>
        <w:pStyle w:val="ListParagraph"/>
        <w:numPr>
          <w:ilvl w:val="0"/>
          <w:numId w:val="1"/>
        </w:numPr>
        <w:tabs>
          <w:tab w:pos="1081" w:val="left" w:leader="none"/>
        </w:tabs>
        <w:spacing w:line="314" w:lineRule="auto" w:before="143" w:after="0"/>
        <w:ind w:left="1080" w:right="629" w:hanging="360"/>
        <w:jc w:val="left"/>
        <w:rPr>
          <w:sz w:val="24"/>
        </w:rPr>
      </w:pPr>
      <w:r>
        <w:rPr>
          <w:w w:val="105"/>
          <w:sz w:val="24"/>
        </w:rPr>
        <w:t>The</w:t>
      </w:r>
      <w:r>
        <w:rPr>
          <w:spacing w:val="-3"/>
          <w:w w:val="105"/>
          <w:sz w:val="24"/>
        </w:rPr>
        <w:t> </w:t>
      </w:r>
      <w:r>
        <w:rPr>
          <w:w w:val="105"/>
          <w:sz w:val="24"/>
        </w:rPr>
        <w:t>Ladder</w:t>
      </w:r>
      <w:r>
        <w:rPr>
          <w:spacing w:val="-2"/>
          <w:w w:val="105"/>
          <w:sz w:val="24"/>
        </w:rPr>
        <w:t> </w:t>
      </w:r>
      <w:r>
        <w:rPr>
          <w:w w:val="105"/>
          <w:sz w:val="24"/>
        </w:rPr>
        <w:t>of</w:t>
      </w:r>
      <w:r>
        <w:rPr>
          <w:spacing w:val="-2"/>
          <w:w w:val="105"/>
          <w:sz w:val="24"/>
        </w:rPr>
        <w:t> </w:t>
      </w:r>
      <w:r>
        <w:rPr>
          <w:w w:val="105"/>
          <w:sz w:val="24"/>
        </w:rPr>
        <w:t>Engagement</w:t>
      </w:r>
      <w:r>
        <w:rPr>
          <w:spacing w:val="-2"/>
          <w:w w:val="105"/>
          <w:sz w:val="24"/>
        </w:rPr>
        <w:t> </w:t>
      </w:r>
      <w:r>
        <w:rPr>
          <w:w w:val="105"/>
          <w:sz w:val="24"/>
        </w:rPr>
        <w:t>activity</w:t>
      </w:r>
      <w:r>
        <w:rPr>
          <w:spacing w:val="-3"/>
          <w:w w:val="105"/>
          <w:sz w:val="24"/>
        </w:rPr>
        <w:t> </w:t>
      </w:r>
      <w:r>
        <w:rPr>
          <w:w w:val="105"/>
          <w:sz w:val="24"/>
        </w:rPr>
        <w:t>explicitly</w:t>
      </w:r>
      <w:r>
        <w:rPr>
          <w:spacing w:val="-3"/>
          <w:w w:val="105"/>
          <w:sz w:val="24"/>
        </w:rPr>
        <w:t> </w:t>
      </w:r>
      <w:r>
        <w:rPr>
          <w:w w:val="105"/>
          <w:sz w:val="24"/>
        </w:rPr>
        <w:t>acknowledges</w:t>
      </w:r>
      <w:r>
        <w:rPr>
          <w:spacing w:val="-3"/>
          <w:w w:val="105"/>
          <w:sz w:val="24"/>
        </w:rPr>
        <w:t> </w:t>
      </w:r>
      <w:r>
        <w:rPr>
          <w:w w:val="105"/>
          <w:sz w:val="24"/>
        </w:rPr>
        <w:t>the</w:t>
      </w:r>
      <w:r>
        <w:rPr>
          <w:spacing w:val="-4"/>
          <w:w w:val="105"/>
          <w:sz w:val="24"/>
        </w:rPr>
        <w:t> </w:t>
      </w:r>
      <w:r>
        <w:rPr>
          <w:w w:val="105"/>
          <w:sz w:val="24"/>
        </w:rPr>
        <w:t>importance</w:t>
      </w:r>
      <w:r>
        <w:rPr>
          <w:spacing w:val="-3"/>
          <w:w w:val="105"/>
          <w:sz w:val="24"/>
        </w:rPr>
        <w:t> </w:t>
      </w:r>
      <w:r>
        <w:rPr>
          <w:w w:val="105"/>
          <w:sz w:val="24"/>
        </w:rPr>
        <w:t>of</w:t>
      </w:r>
      <w:r>
        <w:rPr>
          <w:spacing w:val="-2"/>
          <w:w w:val="105"/>
          <w:sz w:val="24"/>
        </w:rPr>
        <w:t> </w:t>
      </w:r>
      <w:r>
        <w:rPr>
          <w:w w:val="105"/>
          <w:sz w:val="24"/>
        </w:rPr>
        <w:t>professionals</w:t>
      </w:r>
      <w:r>
        <w:rPr>
          <w:spacing w:val="-3"/>
          <w:w w:val="105"/>
          <w:sz w:val="24"/>
        </w:rPr>
        <w:t> </w:t>
      </w:r>
      <w:r>
        <w:rPr>
          <w:w w:val="105"/>
          <w:sz w:val="24"/>
        </w:rPr>
        <w:t>learning</w:t>
      </w:r>
      <w:r>
        <w:rPr>
          <w:spacing w:val="-2"/>
          <w:w w:val="105"/>
          <w:sz w:val="24"/>
        </w:rPr>
        <w:t> </w:t>
      </w:r>
      <w:r>
        <w:rPr>
          <w:w w:val="105"/>
          <w:sz w:val="24"/>
        </w:rPr>
        <w:t>from</w:t>
      </w:r>
      <w:r>
        <w:rPr>
          <w:spacing w:val="-4"/>
          <w:w w:val="105"/>
          <w:sz w:val="24"/>
        </w:rPr>
        <w:t> </w:t>
      </w:r>
      <w:r>
        <w:rPr>
          <w:w w:val="105"/>
          <w:sz w:val="24"/>
        </w:rPr>
        <w:t>stakeholders,</w:t>
      </w:r>
      <w:r>
        <w:rPr>
          <w:spacing w:val="-3"/>
          <w:w w:val="105"/>
          <w:sz w:val="24"/>
        </w:rPr>
        <w:t> </w:t>
      </w:r>
      <w:r>
        <w:rPr>
          <w:w w:val="105"/>
          <w:sz w:val="24"/>
        </w:rPr>
        <w:t>so</w:t>
      </w:r>
      <w:r>
        <w:rPr>
          <w:spacing w:val="-3"/>
          <w:w w:val="105"/>
          <w:sz w:val="24"/>
        </w:rPr>
        <w:t> </w:t>
      </w:r>
      <w:r>
        <w:rPr>
          <w:w w:val="105"/>
          <w:sz w:val="24"/>
        </w:rPr>
        <w:t>as</w:t>
      </w:r>
      <w:r>
        <w:rPr>
          <w:spacing w:val="-3"/>
          <w:w w:val="105"/>
          <w:sz w:val="24"/>
        </w:rPr>
        <w:t> </w:t>
      </w:r>
      <w:r>
        <w:rPr>
          <w:w w:val="105"/>
          <w:sz w:val="24"/>
        </w:rPr>
        <w:t>to gain a better understanding of the experiences, culture and assets of communities, as well as resources that communities may lack (Warren et al, 2009).</w:t>
      </w:r>
    </w:p>
    <w:p>
      <w:pPr>
        <w:pStyle w:val="BodyText"/>
        <w:rPr>
          <w:sz w:val="20"/>
        </w:rPr>
      </w:pPr>
    </w:p>
    <w:p>
      <w:pPr>
        <w:pStyle w:val="BodyText"/>
        <w:rPr>
          <w:sz w:val="20"/>
        </w:rPr>
      </w:pPr>
    </w:p>
    <w:p>
      <w:pPr>
        <w:pStyle w:val="BodyText"/>
        <w:rPr>
          <w:sz w:val="20"/>
        </w:rPr>
      </w:pPr>
    </w:p>
    <w:p>
      <w:pPr>
        <w:pStyle w:val="BodyText"/>
        <w:spacing w:before="6"/>
        <w:rPr>
          <w:sz w:val="16"/>
        </w:rPr>
      </w:pPr>
    </w:p>
    <w:p>
      <w:pPr>
        <w:spacing w:before="120"/>
        <w:ind w:left="0" w:right="277" w:firstLine="0"/>
        <w:jc w:val="right"/>
        <w:rPr>
          <w:sz w:val="16"/>
        </w:rPr>
      </w:pPr>
      <w:r>
        <w:rPr>
          <w:spacing w:val="-5"/>
          <w:sz w:val="16"/>
        </w:rPr>
        <w:t>16</w:t>
      </w:r>
    </w:p>
    <w:p>
      <w:pPr>
        <w:spacing w:after="0"/>
        <w:jc w:val="right"/>
        <w:rPr>
          <w:sz w:val="16"/>
        </w:rPr>
        <w:sectPr>
          <w:type w:val="continuous"/>
          <w:pgSz w:w="16820" w:h="11910" w:orient="landscape"/>
          <w:pgMar w:top="720" w:bottom="0" w:left="440" w:right="440"/>
        </w:sectPr>
      </w:pPr>
    </w:p>
    <w:p>
      <w:pPr>
        <w:tabs>
          <w:tab w:pos="8937" w:val="left" w:leader="none"/>
        </w:tabs>
        <w:spacing w:line="240" w:lineRule="auto"/>
        <w:ind w:left="280" w:right="0" w:firstLine="0"/>
        <w:rPr>
          <w:sz w:val="20"/>
        </w:rPr>
      </w:pPr>
      <w:r>
        <w:rPr/>
        <w:pict>
          <v:rect style="position:absolute;margin-left:.05pt;margin-top:.050017pt;width:840.79pt;height:595.03pt;mso-position-horizontal-relative:page;mso-position-vertical-relative:page;z-index:-15806464" id="docshape4" filled="true" fillcolor="#1d5f76" stroked="false">
            <v:fill type="solid"/>
            <w10:wrap type="none"/>
          </v:rect>
        </w:pict>
      </w:r>
      <w:r>
        <w:rPr>
          <w:position w:val="261"/>
          <w:sz w:val="20"/>
        </w:rPr>
        <w:pict>
          <v:group style="width:315.45pt;height:246.5pt;mso-position-horizontal-relative:char;mso-position-vertical-relative:line" id="docshapegroup5" coordorigin="0,0" coordsize="6309,4930">
            <v:rect style="position:absolute;left:0;top:0;width:6309;height:4930" id="docshape6" filled="true" fillcolor="#ffffff" stroked="false">
              <v:fill type="solid"/>
            </v:rect>
            <v:shape style="position:absolute;left:144;top:770;width:5998;height:789" type="#_x0000_t202" id="docshape7" filled="false" stroked="false">
              <v:textbox inset="0,0,0,0">
                <w:txbxContent>
                  <w:p>
                    <w:pPr>
                      <w:spacing w:line="324" w:lineRule="exact" w:before="0"/>
                      <w:ind w:left="0" w:right="0" w:firstLine="0"/>
                      <w:jc w:val="left"/>
                      <w:rPr>
                        <w:rFonts w:ascii="Corbel"/>
                        <w:b/>
                        <w:sz w:val="32"/>
                      </w:rPr>
                    </w:pPr>
                    <w:r>
                      <w:rPr>
                        <w:rFonts w:ascii="Corbel"/>
                        <w:b/>
                        <w:color w:val="1D5F76"/>
                        <w:sz w:val="32"/>
                      </w:rPr>
                      <w:t>The</w:t>
                    </w:r>
                    <w:r>
                      <w:rPr>
                        <w:rFonts w:ascii="Corbel"/>
                        <w:b/>
                        <w:color w:val="1D5F76"/>
                        <w:spacing w:val="-4"/>
                        <w:sz w:val="32"/>
                      </w:rPr>
                      <w:t> </w:t>
                    </w:r>
                    <w:r>
                      <w:rPr>
                        <w:rFonts w:ascii="Corbel"/>
                        <w:b/>
                        <w:color w:val="1D5F76"/>
                        <w:sz w:val="32"/>
                      </w:rPr>
                      <w:t>Ladder</w:t>
                    </w:r>
                    <w:r>
                      <w:rPr>
                        <w:rFonts w:ascii="Corbel"/>
                        <w:b/>
                        <w:color w:val="1D5F76"/>
                        <w:spacing w:val="-4"/>
                        <w:sz w:val="32"/>
                      </w:rPr>
                      <w:t> </w:t>
                    </w:r>
                    <w:r>
                      <w:rPr>
                        <w:rFonts w:ascii="Corbel"/>
                        <w:b/>
                        <w:color w:val="1D5F76"/>
                        <w:sz w:val="32"/>
                      </w:rPr>
                      <w:t>of</w:t>
                    </w:r>
                    <w:r>
                      <w:rPr>
                        <w:rFonts w:ascii="Corbel"/>
                        <w:b/>
                        <w:color w:val="1D5F76"/>
                        <w:spacing w:val="-3"/>
                        <w:sz w:val="32"/>
                      </w:rPr>
                      <w:t> </w:t>
                    </w:r>
                    <w:r>
                      <w:rPr>
                        <w:rFonts w:ascii="Corbel"/>
                        <w:b/>
                        <w:color w:val="1D5F76"/>
                        <w:sz w:val="32"/>
                      </w:rPr>
                      <w:t>Engagement</w:t>
                    </w:r>
                    <w:r>
                      <w:rPr>
                        <w:rFonts w:ascii="Corbel"/>
                        <w:b/>
                        <w:color w:val="1D5F76"/>
                        <w:spacing w:val="-4"/>
                        <w:sz w:val="32"/>
                      </w:rPr>
                      <w:t> </w:t>
                    </w:r>
                    <w:r>
                      <w:rPr>
                        <w:rFonts w:ascii="Corbel"/>
                        <w:b/>
                        <w:color w:val="1D5F76"/>
                        <w:sz w:val="32"/>
                      </w:rPr>
                      <w:t>is</w:t>
                    </w:r>
                    <w:r>
                      <w:rPr>
                        <w:rFonts w:ascii="Corbel"/>
                        <w:b/>
                        <w:color w:val="1D5F76"/>
                        <w:spacing w:val="-4"/>
                        <w:sz w:val="32"/>
                      </w:rPr>
                      <w:t> </w:t>
                    </w:r>
                    <w:r>
                      <w:rPr>
                        <w:rFonts w:ascii="Corbel"/>
                        <w:b/>
                        <w:color w:val="1D5F76"/>
                        <w:sz w:val="32"/>
                      </w:rPr>
                      <w:t>adapted</w:t>
                    </w:r>
                    <w:r>
                      <w:rPr>
                        <w:rFonts w:ascii="Corbel"/>
                        <w:b/>
                        <w:color w:val="1D5F76"/>
                        <w:spacing w:val="-3"/>
                        <w:sz w:val="32"/>
                      </w:rPr>
                      <w:t> </w:t>
                    </w:r>
                    <w:r>
                      <w:rPr>
                        <w:rFonts w:ascii="Corbel"/>
                        <w:b/>
                        <w:color w:val="1D5F76"/>
                        <w:spacing w:val="-4"/>
                        <w:sz w:val="32"/>
                      </w:rPr>
                      <w:t>from</w:t>
                    </w:r>
                  </w:p>
                  <w:p>
                    <w:pPr>
                      <w:spacing w:line="387" w:lineRule="exact" w:before="77"/>
                      <w:ind w:left="0" w:right="0" w:firstLine="0"/>
                      <w:jc w:val="left"/>
                      <w:rPr>
                        <w:rFonts w:ascii="Corbel" w:hAnsi="Corbel"/>
                        <w:b/>
                        <w:sz w:val="32"/>
                      </w:rPr>
                    </w:pPr>
                    <w:r>
                      <w:rPr>
                        <w:rFonts w:ascii="Corbel" w:hAnsi="Corbel"/>
                        <w:b/>
                        <w:color w:val="1D5F76"/>
                        <w:sz w:val="32"/>
                      </w:rPr>
                      <w:t>Hart’s</w:t>
                    </w:r>
                    <w:r>
                      <w:rPr>
                        <w:rFonts w:ascii="Corbel" w:hAnsi="Corbel"/>
                        <w:b/>
                        <w:color w:val="1D5F76"/>
                        <w:spacing w:val="-4"/>
                        <w:sz w:val="32"/>
                      </w:rPr>
                      <w:t> </w:t>
                    </w:r>
                    <w:r>
                      <w:rPr>
                        <w:rFonts w:ascii="Corbel" w:hAnsi="Corbel"/>
                        <w:b/>
                        <w:color w:val="1D5F76"/>
                        <w:sz w:val="32"/>
                      </w:rPr>
                      <w:t>(1992)</w:t>
                    </w:r>
                    <w:r>
                      <w:rPr>
                        <w:rFonts w:ascii="Corbel" w:hAnsi="Corbel"/>
                        <w:b/>
                        <w:color w:val="1D5F76"/>
                        <w:spacing w:val="-2"/>
                        <w:sz w:val="32"/>
                      </w:rPr>
                      <w:t> </w:t>
                    </w:r>
                    <w:r>
                      <w:rPr>
                        <w:rFonts w:ascii="Corbel" w:hAnsi="Corbel"/>
                        <w:b/>
                        <w:color w:val="1D5F76"/>
                        <w:sz w:val="32"/>
                      </w:rPr>
                      <w:t>Ladder</w:t>
                    </w:r>
                    <w:r>
                      <w:rPr>
                        <w:rFonts w:ascii="Corbel" w:hAnsi="Corbel"/>
                        <w:b/>
                        <w:color w:val="1D5F76"/>
                        <w:spacing w:val="-4"/>
                        <w:sz w:val="32"/>
                      </w:rPr>
                      <w:t> </w:t>
                    </w:r>
                    <w:r>
                      <w:rPr>
                        <w:rFonts w:ascii="Corbel" w:hAnsi="Corbel"/>
                        <w:b/>
                        <w:color w:val="1D5F76"/>
                        <w:sz w:val="32"/>
                      </w:rPr>
                      <w:t>of</w:t>
                    </w:r>
                    <w:r>
                      <w:rPr>
                        <w:rFonts w:ascii="Corbel" w:hAnsi="Corbel"/>
                        <w:b/>
                        <w:color w:val="1D5F76"/>
                        <w:spacing w:val="-2"/>
                        <w:sz w:val="32"/>
                      </w:rPr>
                      <w:t> Participation.</w:t>
                    </w:r>
                  </w:p>
                </w:txbxContent>
              </v:textbox>
              <w10:wrap type="none"/>
            </v:shape>
            <v:shape style="position:absolute;left:144;top:2153;width:6039;height:1825" type="#_x0000_t202" id="docshape8" filled="false" stroked="false">
              <v:textbox inset="0,0,0,0">
                <w:txbxContent>
                  <w:p>
                    <w:pPr>
                      <w:spacing w:line="326" w:lineRule="auto" w:before="31"/>
                      <w:ind w:left="0" w:right="0" w:firstLine="0"/>
                      <w:jc w:val="left"/>
                      <w:rPr>
                        <w:i/>
                        <w:sz w:val="24"/>
                      </w:rPr>
                    </w:pPr>
                    <w:r>
                      <w:rPr>
                        <w:spacing w:val="-2"/>
                        <w:w w:val="105"/>
                        <w:sz w:val="24"/>
                      </w:rPr>
                      <w:t>In</w:t>
                    </w:r>
                    <w:r>
                      <w:rPr>
                        <w:spacing w:val="-10"/>
                        <w:w w:val="105"/>
                        <w:sz w:val="24"/>
                      </w:rPr>
                      <w:t> </w:t>
                    </w:r>
                    <w:r>
                      <w:rPr>
                        <w:spacing w:val="-2"/>
                        <w:w w:val="105"/>
                        <w:sz w:val="24"/>
                      </w:rPr>
                      <w:t>his</w:t>
                    </w:r>
                    <w:r>
                      <w:rPr>
                        <w:spacing w:val="-11"/>
                        <w:w w:val="105"/>
                        <w:sz w:val="24"/>
                      </w:rPr>
                      <w:t> </w:t>
                    </w:r>
                    <w:r>
                      <w:rPr>
                        <w:spacing w:val="-2"/>
                        <w:w w:val="105"/>
                        <w:sz w:val="24"/>
                      </w:rPr>
                      <w:t>essay</w:t>
                    </w:r>
                    <w:r>
                      <w:rPr>
                        <w:spacing w:val="-11"/>
                        <w:w w:val="105"/>
                        <w:sz w:val="24"/>
                      </w:rPr>
                      <w:t> </w:t>
                    </w:r>
                    <w:r>
                      <w:rPr>
                        <w:spacing w:val="-2"/>
                        <w:w w:val="105"/>
                        <w:sz w:val="24"/>
                      </w:rPr>
                      <w:t>for</w:t>
                    </w:r>
                    <w:r>
                      <w:rPr>
                        <w:spacing w:val="-12"/>
                        <w:w w:val="105"/>
                        <w:sz w:val="24"/>
                      </w:rPr>
                      <w:t> </w:t>
                    </w:r>
                    <w:r>
                      <w:rPr>
                        <w:spacing w:val="-2"/>
                        <w:w w:val="105"/>
                        <w:sz w:val="24"/>
                      </w:rPr>
                      <w:t>UNICEF,</w:t>
                    </w:r>
                    <w:r>
                      <w:rPr>
                        <w:spacing w:val="-11"/>
                        <w:w w:val="105"/>
                        <w:sz w:val="24"/>
                      </w:rPr>
                      <w:t> </w:t>
                    </w:r>
                    <w:r>
                      <w:rPr>
                        <w:spacing w:val="-2"/>
                        <w:w w:val="105"/>
                        <w:sz w:val="24"/>
                      </w:rPr>
                      <w:t>Children’s</w:t>
                    </w:r>
                    <w:r>
                      <w:rPr>
                        <w:spacing w:val="-11"/>
                        <w:w w:val="105"/>
                        <w:sz w:val="24"/>
                      </w:rPr>
                      <w:t> </w:t>
                    </w:r>
                    <w:r>
                      <w:rPr>
                        <w:spacing w:val="-2"/>
                        <w:w w:val="105"/>
                        <w:sz w:val="24"/>
                      </w:rPr>
                      <w:t>Participation:</w:t>
                    </w:r>
                    <w:r>
                      <w:rPr>
                        <w:spacing w:val="-11"/>
                        <w:w w:val="105"/>
                        <w:sz w:val="24"/>
                      </w:rPr>
                      <w:t> </w:t>
                    </w:r>
                    <w:r>
                      <w:rPr>
                        <w:spacing w:val="-2"/>
                        <w:w w:val="105"/>
                        <w:sz w:val="24"/>
                      </w:rPr>
                      <w:t>From </w:t>
                    </w:r>
                    <w:r>
                      <w:rPr>
                        <w:w w:val="105"/>
                        <w:sz w:val="24"/>
                      </w:rPr>
                      <w:t>Tokenism to Citizenship, Hart (1992) adapted Arnstein’s</w:t>
                    </w:r>
                    <w:r>
                      <w:rPr>
                        <w:spacing w:val="-20"/>
                        <w:w w:val="105"/>
                        <w:sz w:val="24"/>
                      </w:rPr>
                      <w:t> </w:t>
                    </w:r>
                    <w:r>
                      <w:rPr>
                        <w:w w:val="105"/>
                        <w:sz w:val="24"/>
                      </w:rPr>
                      <w:t>Ladder</w:t>
                    </w:r>
                    <w:r>
                      <w:rPr>
                        <w:spacing w:val="-18"/>
                        <w:w w:val="105"/>
                        <w:sz w:val="24"/>
                      </w:rPr>
                      <w:t> </w:t>
                    </w:r>
                    <w:r>
                      <w:rPr>
                        <w:w w:val="105"/>
                        <w:sz w:val="24"/>
                      </w:rPr>
                      <w:t>of</w:t>
                    </w:r>
                    <w:r>
                      <w:rPr>
                        <w:spacing w:val="-18"/>
                        <w:w w:val="105"/>
                        <w:sz w:val="24"/>
                      </w:rPr>
                      <w:t> </w:t>
                    </w:r>
                    <w:r>
                      <w:rPr>
                        <w:w w:val="105"/>
                        <w:sz w:val="24"/>
                      </w:rPr>
                      <w:t>Citizen</w:t>
                    </w:r>
                    <w:r>
                      <w:rPr>
                        <w:spacing w:val="-18"/>
                        <w:w w:val="105"/>
                        <w:sz w:val="24"/>
                      </w:rPr>
                      <w:t> </w:t>
                    </w:r>
                    <w:r>
                      <w:rPr>
                        <w:w w:val="105"/>
                        <w:sz w:val="24"/>
                      </w:rPr>
                      <w:t>Participation</w:t>
                    </w:r>
                    <w:r>
                      <w:rPr>
                        <w:spacing w:val="-17"/>
                        <w:w w:val="105"/>
                        <w:sz w:val="24"/>
                      </w:rPr>
                      <w:t> </w:t>
                    </w:r>
                    <w:r>
                      <w:rPr>
                        <w:w w:val="105"/>
                        <w:sz w:val="24"/>
                      </w:rPr>
                      <w:t>(1969,</w:t>
                    </w:r>
                    <w:r>
                      <w:rPr>
                        <w:spacing w:val="-18"/>
                        <w:w w:val="105"/>
                        <w:sz w:val="24"/>
                      </w:rPr>
                      <w:t> </w:t>
                    </w:r>
                    <w:r>
                      <w:rPr>
                        <w:w w:val="105"/>
                        <w:sz w:val="24"/>
                      </w:rPr>
                      <w:t>p.217) </w:t>
                    </w:r>
                    <w:r>
                      <w:rPr>
                        <w:i/>
                        <w:w w:val="105"/>
                        <w:sz w:val="24"/>
                      </w:rPr>
                      <w:t>“to serve as a beginning typology for thinking about</w:t>
                    </w:r>
                  </w:p>
                  <w:p>
                    <w:pPr>
                      <w:spacing w:line="272" w:lineRule="exact" w:before="0"/>
                      <w:ind w:left="0" w:right="0" w:firstLine="0"/>
                      <w:jc w:val="left"/>
                      <w:rPr>
                        <w:sz w:val="24"/>
                      </w:rPr>
                    </w:pPr>
                    <w:r>
                      <w:rPr>
                        <w:i/>
                        <w:sz w:val="24"/>
                      </w:rPr>
                      <w:t>children’s</w:t>
                    </w:r>
                    <w:r>
                      <w:rPr>
                        <w:i/>
                        <w:spacing w:val="4"/>
                        <w:sz w:val="24"/>
                      </w:rPr>
                      <w:t> </w:t>
                    </w:r>
                    <w:r>
                      <w:rPr>
                        <w:i/>
                        <w:sz w:val="24"/>
                      </w:rPr>
                      <w:t>participation</w:t>
                    </w:r>
                    <w:r>
                      <w:rPr>
                        <w:i/>
                        <w:spacing w:val="3"/>
                        <w:sz w:val="24"/>
                      </w:rPr>
                      <w:t> </w:t>
                    </w:r>
                    <w:r>
                      <w:rPr>
                        <w:i/>
                        <w:sz w:val="24"/>
                      </w:rPr>
                      <w:t>in</w:t>
                    </w:r>
                    <w:r>
                      <w:rPr>
                        <w:i/>
                        <w:spacing w:val="4"/>
                        <w:sz w:val="24"/>
                      </w:rPr>
                      <w:t> </w:t>
                    </w:r>
                    <w:r>
                      <w:rPr>
                        <w:i/>
                        <w:sz w:val="24"/>
                      </w:rPr>
                      <w:t>projects”</w:t>
                    </w:r>
                    <w:r>
                      <w:rPr>
                        <w:i/>
                        <w:spacing w:val="3"/>
                        <w:sz w:val="24"/>
                      </w:rPr>
                      <w:t> </w:t>
                    </w:r>
                    <w:r>
                      <w:rPr>
                        <w:spacing w:val="-2"/>
                        <w:sz w:val="24"/>
                      </w:rPr>
                      <w:t>(p.9).</w:t>
                    </w:r>
                  </w:p>
                </w:txbxContent>
              </v:textbox>
              <w10:wrap type="none"/>
            </v:shape>
          </v:group>
        </w:pict>
      </w:r>
      <w:r>
        <w:rPr>
          <w:position w:val="261"/>
          <w:sz w:val="20"/>
        </w:rPr>
      </w:r>
      <w:r>
        <w:rPr>
          <w:position w:val="261"/>
          <w:sz w:val="20"/>
        </w:rPr>
        <w:tab/>
      </w:r>
      <w:r>
        <w:rPr>
          <w:sz w:val="20"/>
        </w:rPr>
        <w:drawing>
          <wp:inline distT="0" distB="0" distL="0" distR="0">
            <wp:extent cx="4203863" cy="6542532"/>
            <wp:effectExtent l="0" t="0" r="0" b="0"/>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4203863" cy="6542532"/>
                    </a:xfrm>
                    <a:prstGeom prst="rect">
                      <a:avLst/>
                    </a:prstGeom>
                  </pic:spPr>
                </pic:pic>
              </a:graphicData>
            </a:graphic>
          </wp:inline>
        </w:drawing>
      </w:r>
      <w:r>
        <w:rPr>
          <w:sz w:val="20"/>
        </w:rPr>
      </w:r>
    </w:p>
    <w:p>
      <w:pPr>
        <w:spacing w:after="0" w:line="240" w:lineRule="auto"/>
        <w:rPr>
          <w:sz w:val="20"/>
        </w:rPr>
        <w:sectPr>
          <w:pgSz w:w="16820" w:h="11910" w:orient="landscape"/>
          <w:pgMar w:top="720" w:bottom="280" w:left="440" w:right="440"/>
        </w:sectPr>
      </w:pPr>
    </w:p>
    <w:p>
      <w:pPr>
        <w:tabs>
          <w:tab w:pos="15686" w:val="left" w:leader="none"/>
        </w:tabs>
        <w:spacing w:before="18"/>
        <w:ind w:left="250" w:right="0" w:firstLine="0"/>
        <w:jc w:val="left"/>
        <w:rPr>
          <w:rFonts w:ascii="Corbel"/>
          <w:b/>
          <w:sz w:val="28"/>
        </w:rPr>
      </w:pPr>
      <w:bookmarkStart w:name="Activity 4" w:id="3"/>
      <w:bookmarkEnd w:id="3"/>
      <w:r>
        <w:rPr/>
      </w:r>
      <w:r>
        <w:rPr>
          <w:rFonts w:ascii="Corbel"/>
          <w:b/>
          <w:color w:val="114352"/>
          <w:spacing w:val="-29"/>
          <w:sz w:val="28"/>
          <w:shd w:fill="AFD0E1" w:color="auto" w:val="clear"/>
        </w:rPr>
        <w:t> </w:t>
      </w:r>
      <w:r>
        <w:rPr>
          <w:rFonts w:ascii="Corbel"/>
          <w:b/>
          <w:color w:val="114352"/>
          <w:sz w:val="28"/>
          <w:shd w:fill="AFD0E1" w:color="auto" w:val="clear"/>
        </w:rPr>
        <w:t>Activity</w:t>
      </w:r>
      <w:r>
        <w:rPr>
          <w:rFonts w:ascii="Corbel"/>
          <w:b/>
          <w:color w:val="114352"/>
          <w:spacing w:val="-12"/>
          <w:sz w:val="28"/>
          <w:shd w:fill="AFD0E1" w:color="auto" w:val="clear"/>
        </w:rPr>
        <w:t> </w:t>
      </w:r>
      <w:r>
        <w:rPr>
          <w:rFonts w:ascii="Corbel"/>
          <w:b/>
          <w:color w:val="114352"/>
          <w:spacing w:val="-10"/>
          <w:sz w:val="28"/>
          <w:shd w:fill="AFD0E1" w:color="auto" w:val="clear"/>
        </w:rPr>
        <w:t>4</w:t>
      </w:r>
      <w:r>
        <w:rPr>
          <w:rFonts w:ascii="Corbel"/>
          <w:b/>
          <w:color w:val="114352"/>
          <w:sz w:val="28"/>
          <w:shd w:fill="AFD0E1" w:color="auto" w:val="clear"/>
        </w:rPr>
        <w:tab/>
      </w:r>
    </w:p>
    <w:p>
      <w:pPr>
        <w:pStyle w:val="BodyText"/>
        <w:spacing w:line="501" w:lineRule="auto" w:before="160"/>
        <w:ind w:left="280" w:right="902"/>
      </w:pPr>
      <w:r>
        <w:rPr>
          <w:w w:val="105"/>
        </w:rPr>
        <w:t>After conducting an engagement audit, the team invites community members to discuss their experiences of the project process. This can be done in different ways:</w:t>
      </w:r>
    </w:p>
    <w:p>
      <w:pPr>
        <w:pStyle w:val="BodyText"/>
        <w:spacing w:line="326" w:lineRule="auto"/>
        <w:ind w:left="280" w:right="287"/>
      </w:pPr>
      <w:r>
        <w:rPr>
          <w:w w:val="105"/>
        </w:rPr>
        <w:t>In a community space, The Ladder of Engagement can be displayed in a large paper format. Participants can work in small groups to consider their opinions on where different engagement activities (and the different stages of those activities) lie on the Ladder.</w:t>
      </w:r>
      <w:r>
        <w:rPr>
          <w:spacing w:val="80"/>
          <w:w w:val="105"/>
        </w:rPr>
        <w:t> </w:t>
      </w:r>
      <w:r>
        <w:rPr>
          <w:w w:val="105"/>
        </w:rPr>
        <w:t>Post its can be used to write individual comments and reflections, to identify where the project activity/stage of activity appears on the ladder and to discuss the key components that participants think would move future activities towards ‘doing with’ rather than ‘doing to’.</w:t>
      </w:r>
    </w:p>
    <w:p>
      <w:pPr>
        <w:pStyle w:val="BodyText"/>
        <w:spacing w:line="326" w:lineRule="auto" w:before="200"/>
        <w:ind w:left="280" w:right="287"/>
      </w:pPr>
      <w:r>
        <w:rPr>
          <w:w w:val="105"/>
        </w:rPr>
        <w:t>Participants can be asked which policymakers/professionals they would like to work with/get to know, and who the key people are in their community</w:t>
      </w:r>
      <w:r>
        <w:rPr>
          <w:spacing w:val="22"/>
          <w:w w:val="105"/>
        </w:rPr>
        <w:t> </w:t>
      </w:r>
      <w:r>
        <w:rPr>
          <w:w w:val="105"/>
        </w:rPr>
        <w:t>that</w:t>
      </w:r>
      <w:r>
        <w:rPr>
          <w:spacing w:val="20"/>
          <w:w w:val="105"/>
        </w:rPr>
        <w:t> </w:t>
      </w:r>
      <w:r>
        <w:rPr>
          <w:w w:val="105"/>
        </w:rPr>
        <w:t>professionals</w:t>
      </w:r>
      <w:r>
        <w:rPr>
          <w:spacing w:val="22"/>
          <w:w w:val="105"/>
        </w:rPr>
        <w:t> </w:t>
      </w:r>
      <w:r>
        <w:rPr>
          <w:w w:val="105"/>
        </w:rPr>
        <w:t>need</w:t>
      </w:r>
      <w:r>
        <w:rPr>
          <w:spacing w:val="23"/>
          <w:w w:val="105"/>
        </w:rPr>
        <w:t> </w:t>
      </w:r>
      <w:r>
        <w:rPr>
          <w:w w:val="105"/>
        </w:rPr>
        <w:t>to</w:t>
      </w:r>
      <w:r>
        <w:rPr>
          <w:spacing w:val="22"/>
          <w:w w:val="105"/>
        </w:rPr>
        <w:t> </w:t>
      </w:r>
      <w:r>
        <w:rPr>
          <w:w w:val="105"/>
        </w:rPr>
        <w:t>work</w:t>
      </w:r>
      <w:r>
        <w:rPr>
          <w:spacing w:val="22"/>
          <w:w w:val="105"/>
        </w:rPr>
        <w:t> </w:t>
      </w:r>
      <w:r>
        <w:rPr>
          <w:w w:val="105"/>
        </w:rPr>
        <w:t>with/get</w:t>
      </w:r>
      <w:r>
        <w:rPr>
          <w:spacing w:val="23"/>
          <w:w w:val="105"/>
        </w:rPr>
        <w:t> </w:t>
      </w:r>
      <w:r>
        <w:rPr>
          <w:w w:val="105"/>
        </w:rPr>
        <w:t>to</w:t>
      </w:r>
      <w:r>
        <w:rPr>
          <w:spacing w:val="22"/>
          <w:w w:val="105"/>
        </w:rPr>
        <w:t> </w:t>
      </w:r>
      <w:r>
        <w:rPr>
          <w:w w:val="105"/>
        </w:rPr>
        <w:t>know.</w:t>
      </w:r>
      <w:r>
        <w:rPr>
          <w:spacing w:val="22"/>
          <w:w w:val="105"/>
        </w:rPr>
        <w:t> </w:t>
      </w:r>
      <w:r>
        <w:rPr>
          <w:w w:val="105"/>
        </w:rPr>
        <w:t>Participants</w:t>
      </w:r>
      <w:r>
        <w:rPr>
          <w:spacing w:val="22"/>
          <w:w w:val="105"/>
        </w:rPr>
        <w:t> </w:t>
      </w:r>
      <w:r>
        <w:rPr>
          <w:w w:val="105"/>
        </w:rPr>
        <w:t>should</w:t>
      </w:r>
      <w:r>
        <w:rPr>
          <w:spacing w:val="22"/>
          <w:w w:val="105"/>
        </w:rPr>
        <w:t> </w:t>
      </w:r>
      <w:r>
        <w:rPr>
          <w:w w:val="105"/>
        </w:rPr>
        <w:t>have</w:t>
      </w:r>
      <w:r>
        <w:rPr>
          <w:spacing w:val="22"/>
          <w:w w:val="105"/>
        </w:rPr>
        <w:t> </w:t>
      </w:r>
      <w:r>
        <w:rPr>
          <w:w w:val="105"/>
        </w:rPr>
        <w:t>the</w:t>
      </w:r>
      <w:r>
        <w:rPr>
          <w:spacing w:val="22"/>
          <w:w w:val="105"/>
        </w:rPr>
        <w:t> </w:t>
      </w:r>
      <w:r>
        <w:rPr>
          <w:w w:val="105"/>
        </w:rPr>
        <w:t>opportunity</w:t>
      </w:r>
      <w:r>
        <w:rPr>
          <w:spacing w:val="22"/>
          <w:w w:val="105"/>
        </w:rPr>
        <w:t> </w:t>
      </w:r>
      <w:r>
        <w:rPr>
          <w:w w:val="105"/>
        </w:rPr>
        <w:t>to</w:t>
      </w:r>
      <w:r>
        <w:rPr>
          <w:spacing w:val="22"/>
          <w:w w:val="105"/>
        </w:rPr>
        <w:t> </w:t>
      </w:r>
      <w:r>
        <w:rPr>
          <w:w w:val="105"/>
        </w:rPr>
        <w:t>say</w:t>
      </w:r>
      <w:r>
        <w:rPr>
          <w:spacing w:val="22"/>
          <w:w w:val="105"/>
        </w:rPr>
        <w:t> </w:t>
      </w:r>
      <w:r>
        <w:rPr>
          <w:w w:val="105"/>
        </w:rPr>
        <w:t>what</w:t>
      </w:r>
      <w:r>
        <w:rPr>
          <w:spacing w:val="23"/>
          <w:w w:val="105"/>
        </w:rPr>
        <w:t> </w:t>
      </w:r>
      <w:r>
        <w:rPr>
          <w:w w:val="105"/>
        </w:rPr>
        <w:t>information</w:t>
      </w:r>
      <w:r>
        <w:rPr>
          <w:spacing w:val="23"/>
          <w:w w:val="105"/>
        </w:rPr>
        <w:t> </w:t>
      </w:r>
      <w:r>
        <w:rPr>
          <w:w w:val="105"/>
        </w:rPr>
        <w:t>they</w:t>
      </w:r>
      <w:r>
        <w:rPr>
          <w:w w:val="105"/>
        </w:rPr>
        <w:t> need from professionals/policymakers and what skills and knowledge they need to develop – and vice versa.</w:t>
      </w:r>
    </w:p>
    <w:p>
      <w:pPr>
        <w:pStyle w:val="BodyText"/>
        <w:spacing w:line="328" w:lineRule="auto" w:before="202"/>
        <w:ind w:left="280" w:right="287"/>
      </w:pPr>
      <w:r>
        <w:rPr>
          <w:w w:val="105"/>
        </w:rPr>
        <w:t>In order to cross-reference thoroughly, questions can be tailored to focus on information from the 3 audits (e.g. asking participants about relational goods such as trust, social influence, emotional support, awareness of community assets etc).</w:t>
      </w:r>
    </w:p>
    <w:p>
      <w:pPr>
        <w:pStyle w:val="BodyText"/>
        <w:spacing w:before="196"/>
        <w:ind w:left="280"/>
      </w:pPr>
      <w:r>
        <w:rPr>
          <w:w w:val="105"/>
        </w:rPr>
        <w:t>The</w:t>
      </w:r>
      <w:r>
        <w:rPr>
          <w:spacing w:val="-3"/>
          <w:w w:val="105"/>
        </w:rPr>
        <w:t> </w:t>
      </w:r>
      <w:r>
        <w:rPr>
          <w:w w:val="105"/>
        </w:rPr>
        <w:t>activity</w:t>
      </w:r>
      <w:r>
        <w:rPr>
          <w:spacing w:val="-3"/>
          <w:w w:val="105"/>
        </w:rPr>
        <w:t> </w:t>
      </w:r>
      <w:r>
        <w:rPr>
          <w:w w:val="105"/>
        </w:rPr>
        <w:t>could</w:t>
      </w:r>
      <w:r>
        <w:rPr>
          <w:spacing w:val="-1"/>
          <w:w w:val="105"/>
        </w:rPr>
        <w:t> </w:t>
      </w:r>
      <w:r>
        <w:rPr>
          <w:w w:val="105"/>
        </w:rPr>
        <w:t>also</w:t>
      </w:r>
      <w:r>
        <w:rPr>
          <w:spacing w:val="-3"/>
          <w:w w:val="105"/>
        </w:rPr>
        <w:t> </w:t>
      </w:r>
      <w:r>
        <w:rPr>
          <w:w w:val="105"/>
        </w:rPr>
        <w:t>be</w:t>
      </w:r>
      <w:r>
        <w:rPr>
          <w:spacing w:val="-2"/>
          <w:w w:val="105"/>
        </w:rPr>
        <w:t> </w:t>
      </w:r>
      <w:r>
        <w:rPr>
          <w:w w:val="105"/>
        </w:rPr>
        <w:t>conducted</w:t>
      </w:r>
      <w:r>
        <w:rPr>
          <w:spacing w:val="-2"/>
          <w:w w:val="105"/>
        </w:rPr>
        <w:t> </w:t>
      </w:r>
      <w:r>
        <w:rPr>
          <w:w w:val="105"/>
        </w:rPr>
        <w:t>online</w:t>
      </w:r>
      <w:r>
        <w:rPr>
          <w:spacing w:val="-2"/>
          <w:w w:val="105"/>
        </w:rPr>
        <w:t> </w:t>
      </w:r>
      <w:r>
        <w:rPr>
          <w:w w:val="105"/>
        </w:rPr>
        <w:t>using</w:t>
      </w:r>
      <w:r>
        <w:rPr>
          <w:spacing w:val="-2"/>
          <w:w w:val="105"/>
        </w:rPr>
        <w:t> </w:t>
      </w:r>
      <w:r>
        <w:rPr>
          <w:w w:val="105"/>
        </w:rPr>
        <w:t>a</w:t>
      </w:r>
      <w:r>
        <w:rPr>
          <w:spacing w:val="-4"/>
          <w:w w:val="105"/>
        </w:rPr>
        <w:t> </w:t>
      </w:r>
      <w:r>
        <w:rPr>
          <w:w w:val="105"/>
        </w:rPr>
        <w:t>tool</w:t>
      </w:r>
      <w:r>
        <w:rPr>
          <w:spacing w:val="-1"/>
          <w:w w:val="105"/>
        </w:rPr>
        <w:t> </w:t>
      </w:r>
      <w:r>
        <w:rPr>
          <w:w w:val="105"/>
        </w:rPr>
        <w:t>such</w:t>
      </w:r>
      <w:r>
        <w:rPr>
          <w:spacing w:val="-1"/>
          <w:w w:val="105"/>
        </w:rPr>
        <w:t> </w:t>
      </w:r>
      <w:r>
        <w:rPr>
          <w:w w:val="105"/>
        </w:rPr>
        <w:t>as</w:t>
      </w:r>
      <w:r>
        <w:rPr>
          <w:spacing w:val="-3"/>
          <w:w w:val="105"/>
        </w:rPr>
        <w:t> </w:t>
      </w:r>
      <w:r>
        <w:rPr>
          <w:w w:val="105"/>
        </w:rPr>
        <w:t>Padlet</w:t>
      </w:r>
      <w:r>
        <w:rPr>
          <w:spacing w:val="-2"/>
          <w:w w:val="105"/>
        </w:rPr>
        <w:t> </w:t>
      </w:r>
      <w:r>
        <w:rPr>
          <w:w w:val="105"/>
        </w:rPr>
        <w:t>etc,</w:t>
      </w:r>
      <w:r>
        <w:rPr>
          <w:spacing w:val="-2"/>
          <w:w w:val="105"/>
        </w:rPr>
        <w:t> </w:t>
      </w:r>
      <w:r>
        <w:rPr>
          <w:w w:val="105"/>
        </w:rPr>
        <w:t>with</w:t>
      </w:r>
      <w:r>
        <w:rPr>
          <w:spacing w:val="-4"/>
          <w:w w:val="105"/>
        </w:rPr>
        <w:t> </w:t>
      </w:r>
      <w:r>
        <w:rPr>
          <w:w w:val="105"/>
        </w:rPr>
        <w:t>different</w:t>
      </w:r>
      <w:r>
        <w:rPr>
          <w:spacing w:val="-1"/>
          <w:w w:val="105"/>
        </w:rPr>
        <w:t> </w:t>
      </w:r>
      <w:r>
        <w:rPr>
          <w:w w:val="105"/>
        </w:rPr>
        <w:t>activities</w:t>
      </w:r>
      <w:r>
        <w:rPr>
          <w:spacing w:val="-3"/>
          <w:w w:val="105"/>
        </w:rPr>
        <w:t> </w:t>
      </w:r>
      <w:r>
        <w:rPr>
          <w:w w:val="105"/>
        </w:rPr>
        <w:t>under</w:t>
      </w:r>
      <w:r>
        <w:rPr>
          <w:spacing w:val="-4"/>
          <w:w w:val="105"/>
        </w:rPr>
        <w:t> </w:t>
      </w:r>
      <w:r>
        <w:rPr>
          <w:w w:val="105"/>
        </w:rPr>
        <w:t>different</w:t>
      </w:r>
      <w:r>
        <w:rPr>
          <w:spacing w:val="-1"/>
          <w:w w:val="105"/>
        </w:rPr>
        <w:t> </w:t>
      </w:r>
      <w:r>
        <w:rPr>
          <w:spacing w:val="-4"/>
          <w:w w:val="105"/>
        </w:rPr>
        <w:t>tabs.</w:t>
      </w:r>
    </w:p>
    <w:p>
      <w:pPr>
        <w:pStyle w:val="BodyText"/>
        <w:rPr>
          <w:sz w:val="26"/>
        </w:rPr>
      </w:pPr>
    </w:p>
    <w:p>
      <w:pPr>
        <w:pStyle w:val="BodyText"/>
        <w:spacing w:line="328" w:lineRule="auto"/>
        <w:ind w:left="280" w:right="287"/>
      </w:pPr>
      <w:r>
        <w:rPr>
          <w:w w:val="105"/>
        </w:rPr>
        <w:t>The activity enables an ongoing comparison of professional and community perceptions and understandings of engagement, and how to move towards a shared understanding of a relational model.</w:t>
      </w:r>
    </w:p>
    <w:p>
      <w:pPr>
        <w:pStyle w:val="BodyText"/>
        <w:rPr>
          <w:sz w:val="20"/>
        </w:rPr>
      </w:pPr>
    </w:p>
    <w:p>
      <w:pPr>
        <w:pStyle w:val="BodyText"/>
        <w:spacing w:before="1"/>
        <w:rPr>
          <w:sz w:val="12"/>
        </w:rPr>
      </w:pPr>
      <w:r>
        <w:rPr/>
        <w:drawing>
          <wp:anchor distT="0" distB="0" distL="0" distR="0" allowOverlap="1" layoutInCell="1" locked="0" behindDoc="0" simplePos="0" relativeHeight="3">
            <wp:simplePos x="0" y="0"/>
            <wp:positionH relativeFrom="page">
              <wp:posOffset>2282189</wp:posOffset>
            </wp:positionH>
            <wp:positionV relativeFrom="paragraph">
              <wp:posOffset>103497</wp:posOffset>
            </wp:positionV>
            <wp:extent cx="6091844" cy="1963102"/>
            <wp:effectExtent l="0" t="0" r="0" b="0"/>
            <wp:wrapTopAndBottom/>
            <wp:docPr id="3" name="image2.png"/>
            <wp:cNvGraphicFramePr>
              <a:graphicFrameLocks noChangeAspect="1"/>
            </wp:cNvGraphicFramePr>
            <a:graphic>
              <a:graphicData uri="http://schemas.openxmlformats.org/drawingml/2006/picture">
                <pic:pic>
                  <pic:nvPicPr>
                    <pic:cNvPr id="4" name="image2.png"/>
                    <pic:cNvPicPr/>
                  </pic:nvPicPr>
                  <pic:blipFill>
                    <a:blip r:embed="rId7" cstate="print"/>
                    <a:stretch>
                      <a:fillRect/>
                    </a:stretch>
                  </pic:blipFill>
                  <pic:spPr>
                    <a:xfrm>
                      <a:off x="0" y="0"/>
                      <a:ext cx="6091844" cy="1963102"/>
                    </a:xfrm>
                    <a:prstGeom prst="rect">
                      <a:avLst/>
                    </a:prstGeom>
                  </pic:spPr>
                </pic:pic>
              </a:graphicData>
            </a:graphic>
          </wp:anchor>
        </w:drawing>
      </w:r>
    </w:p>
    <w:p>
      <w:pPr>
        <w:spacing w:after="0"/>
        <w:rPr>
          <w:sz w:val="12"/>
        </w:rPr>
        <w:sectPr>
          <w:footerReference w:type="default" r:id="rId6"/>
          <w:pgSz w:w="16820" w:h="11910" w:orient="landscape"/>
          <w:pgMar w:footer="345" w:header="0" w:top="700" w:bottom="540" w:left="440" w:right="440"/>
          <w:pgNumType w:start="18"/>
        </w:sectPr>
      </w:pPr>
    </w:p>
    <w:tbl>
      <w:tblPr>
        <w:tblW w:w="0" w:type="auto"/>
        <w:jc w:val="left"/>
        <w:tblInd w:w="289" w:type="dxa"/>
        <w:tblBorders>
          <w:top w:val="single" w:sz="4" w:space="0" w:color="88B8D3"/>
          <w:left w:val="single" w:sz="4" w:space="0" w:color="88B8D3"/>
          <w:bottom w:val="single" w:sz="4" w:space="0" w:color="88B8D3"/>
          <w:right w:val="single" w:sz="4" w:space="0" w:color="88B8D3"/>
          <w:insideH w:val="single" w:sz="4" w:space="0" w:color="88B8D3"/>
          <w:insideV w:val="single" w:sz="4" w:space="0" w:color="88B8D3"/>
        </w:tblBorders>
        <w:tblLayout w:type="fixed"/>
        <w:tblCellMar>
          <w:top w:w="0" w:type="dxa"/>
          <w:left w:w="0" w:type="dxa"/>
          <w:bottom w:w="0" w:type="dxa"/>
          <w:right w:w="0" w:type="dxa"/>
        </w:tblCellMar>
        <w:tblLook w:val="01E0"/>
      </w:tblPr>
      <w:tblGrid>
        <w:gridCol w:w="11052"/>
        <w:gridCol w:w="4315"/>
      </w:tblGrid>
      <w:tr>
        <w:trPr>
          <w:trHeight w:val="390" w:hRule="atLeast"/>
        </w:trPr>
        <w:tc>
          <w:tcPr>
            <w:tcW w:w="15367" w:type="dxa"/>
            <w:gridSpan w:val="2"/>
          </w:tcPr>
          <w:p>
            <w:pPr>
              <w:pStyle w:val="TableParagraph"/>
              <w:spacing w:line="371" w:lineRule="exact"/>
              <w:ind w:left="6094" w:right="6085"/>
              <w:jc w:val="center"/>
              <w:rPr>
                <w:rFonts w:ascii="Corbel"/>
                <w:b/>
                <w:sz w:val="32"/>
              </w:rPr>
            </w:pPr>
            <w:r>
              <w:rPr>
                <w:rFonts w:ascii="Corbel"/>
                <w:b/>
                <w:color w:val="1D5F76"/>
                <w:sz w:val="32"/>
              </w:rPr>
              <w:t>Ladder</w:t>
            </w:r>
            <w:r>
              <w:rPr>
                <w:rFonts w:ascii="Corbel"/>
                <w:b/>
                <w:color w:val="1D5F76"/>
                <w:spacing w:val="-2"/>
                <w:sz w:val="32"/>
              </w:rPr>
              <w:t> </w:t>
            </w:r>
            <w:r>
              <w:rPr>
                <w:rFonts w:ascii="Corbel"/>
                <w:b/>
                <w:color w:val="1D5F76"/>
                <w:sz w:val="32"/>
              </w:rPr>
              <w:t>of</w:t>
            </w:r>
            <w:r>
              <w:rPr>
                <w:rFonts w:ascii="Corbel"/>
                <w:b/>
                <w:color w:val="1D5F76"/>
                <w:spacing w:val="-1"/>
                <w:sz w:val="32"/>
              </w:rPr>
              <w:t> </w:t>
            </w:r>
            <w:r>
              <w:rPr>
                <w:rFonts w:ascii="Corbel"/>
                <w:b/>
                <w:color w:val="1D5F76"/>
                <w:spacing w:val="-2"/>
                <w:sz w:val="32"/>
              </w:rPr>
              <w:t>Engagement</w:t>
            </w:r>
          </w:p>
        </w:tc>
      </w:tr>
      <w:tr>
        <w:trPr>
          <w:trHeight w:val="1133" w:hRule="atLeast"/>
        </w:trPr>
        <w:tc>
          <w:tcPr>
            <w:tcW w:w="11052" w:type="dxa"/>
          </w:tcPr>
          <w:p>
            <w:pPr>
              <w:pStyle w:val="TableParagraph"/>
              <w:spacing w:before="69"/>
              <w:ind w:left="107"/>
              <w:rPr>
                <w:rFonts w:ascii="Corbel"/>
                <w:b/>
                <w:sz w:val="28"/>
              </w:rPr>
            </w:pPr>
            <w:r>
              <w:rPr>
                <w:rFonts w:ascii="Corbel"/>
                <w:b/>
                <w:sz w:val="28"/>
                <w:u w:val="single"/>
              </w:rPr>
              <w:t>Equal</w:t>
            </w:r>
            <w:r>
              <w:rPr>
                <w:rFonts w:ascii="Corbel"/>
                <w:b/>
                <w:spacing w:val="-9"/>
                <w:sz w:val="28"/>
                <w:u w:val="single"/>
              </w:rPr>
              <w:t> </w:t>
            </w:r>
            <w:r>
              <w:rPr>
                <w:rFonts w:ascii="Corbel"/>
                <w:b/>
                <w:spacing w:val="-2"/>
                <w:sz w:val="28"/>
                <w:u w:val="single"/>
              </w:rPr>
              <w:t>partners</w:t>
            </w:r>
          </w:p>
          <w:p>
            <w:pPr>
              <w:pStyle w:val="TableParagraph"/>
              <w:spacing w:line="283" w:lineRule="auto" w:before="32"/>
              <w:ind w:left="107"/>
              <w:rPr>
                <w:sz w:val="24"/>
              </w:rPr>
            </w:pPr>
            <w:r>
              <w:rPr>
                <w:w w:val="105"/>
                <w:sz w:val="24"/>
              </w:rPr>
              <w:t>Stakeholders</w:t>
            </w:r>
            <w:r>
              <w:rPr>
                <w:spacing w:val="-11"/>
                <w:w w:val="105"/>
                <w:sz w:val="24"/>
              </w:rPr>
              <w:t> </w:t>
            </w:r>
            <w:r>
              <w:rPr>
                <w:w w:val="105"/>
                <w:sz w:val="24"/>
              </w:rPr>
              <w:t>and</w:t>
            </w:r>
            <w:r>
              <w:rPr>
                <w:spacing w:val="-10"/>
                <w:w w:val="105"/>
                <w:sz w:val="24"/>
              </w:rPr>
              <w:t> </w:t>
            </w:r>
            <w:r>
              <w:rPr>
                <w:w w:val="105"/>
                <w:sz w:val="24"/>
              </w:rPr>
              <w:t>the</w:t>
            </w:r>
            <w:r>
              <w:rPr>
                <w:spacing w:val="-11"/>
                <w:w w:val="105"/>
                <w:sz w:val="24"/>
              </w:rPr>
              <w:t> </w:t>
            </w:r>
            <w:r>
              <w:rPr>
                <w:w w:val="105"/>
                <w:sz w:val="24"/>
              </w:rPr>
              <w:t>organisation</w:t>
            </w:r>
            <w:r>
              <w:rPr>
                <w:spacing w:val="-10"/>
                <w:w w:val="105"/>
                <w:sz w:val="24"/>
              </w:rPr>
              <w:t> </w:t>
            </w:r>
            <w:r>
              <w:rPr>
                <w:w w:val="105"/>
                <w:sz w:val="24"/>
              </w:rPr>
              <w:t>(e.g.</w:t>
            </w:r>
            <w:r>
              <w:rPr>
                <w:spacing w:val="-11"/>
                <w:w w:val="105"/>
                <w:sz w:val="24"/>
              </w:rPr>
              <w:t> </w:t>
            </w:r>
            <w:r>
              <w:rPr>
                <w:w w:val="105"/>
                <w:sz w:val="24"/>
              </w:rPr>
              <w:t>the</w:t>
            </w:r>
            <w:r>
              <w:rPr>
                <w:spacing w:val="-11"/>
                <w:w w:val="105"/>
                <w:sz w:val="24"/>
              </w:rPr>
              <w:t> </w:t>
            </w:r>
            <w:r>
              <w:rPr>
                <w:w w:val="105"/>
                <w:sz w:val="24"/>
              </w:rPr>
              <w:t>city</w:t>
            </w:r>
            <w:r>
              <w:rPr>
                <w:spacing w:val="-11"/>
                <w:w w:val="105"/>
                <w:sz w:val="24"/>
              </w:rPr>
              <w:t> </w:t>
            </w:r>
            <w:r>
              <w:rPr>
                <w:w w:val="105"/>
                <w:sz w:val="24"/>
              </w:rPr>
              <w:t>council)</w:t>
            </w:r>
            <w:r>
              <w:rPr>
                <w:spacing w:val="-11"/>
                <w:w w:val="105"/>
                <w:sz w:val="24"/>
              </w:rPr>
              <w:t> </w:t>
            </w:r>
            <w:r>
              <w:rPr>
                <w:w w:val="105"/>
                <w:sz w:val="24"/>
              </w:rPr>
              <w:t>share</w:t>
            </w:r>
            <w:r>
              <w:rPr>
                <w:spacing w:val="-12"/>
                <w:w w:val="105"/>
                <w:sz w:val="24"/>
              </w:rPr>
              <w:t> </w:t>
            </w:r>
            <w:r>
              <w:rPr>
                <w:w w:val="105"/>
                <w:sz w:val="24"/>
              </w:rPr>
              <w:t>the</w:t>
            </w:r>
            <w:r>
              <w:rPr>
                <w:spacing w:val="-11"/>
                <w:w w:val="105"/>
                <w:sz w:val="24"/>
              </w:rPr>
              <w:t> </w:t>
            </w:r>
            <w:r>
              <w:rPr>
                <w:w w:val="105"/>
                <w:sz w:val="24"/>
              </w:rPr>
              <w:t>decision-making.</w:t>
            </w:r>
            <w:r>
              <w:rPr>
                <w:spacing w:val="-12"/>
                <w:w w:val="105"/>
                <w:sz w:val="24"/>
              </w:rPr>
              <w:t> </w:t>
            </w:r>
            <w:r>
              <w:rPr>
                <w:w w:val="105"/>
                <w:sz w:val="24"/>
              </w:rPr>
              <w:t>Stakeholders have the ideas, set up the project and invite the organisation to join in the decision-making.</w:t>
            </w:r>
          </w:p>
        </w:tc>
        <w:tc>
          <w:tcPr>
            <w:tcW w:w="4315" w:type="dxa"/>
            <w:vMerge w:val="restart"/>
          </w:tcPr>
          <w:p>
            <w:pPr>
              <w:pStyle w:val="TableParagraph"/>
              <w:rPr>
                <w:sz w:val="40"/>
              </w:rPr>
            </w:pPr>
          </w:p>
          <w:p>
            <w:pPr>
              <w:pStyle w:val="TableParagraph"/>
              <w:spacing w:before="8"/>
              <w:rPr>
                <w:sz w:val="36"/>
              </w:rPr>
            </w:pPr>
          </w:p>
          <w:p>
            <w:pPr>
              <w:pStyle w:val="TableParagraph"/>
              <w:ind w:left="1177"/>
              <w:rPr>
                <w:rFonts w:ascii="Corbel"/>
                <w:b/>
                <w:sz w:val="40"/>
              </w:rPr>
            </w:pPr>
            <w:r>
              <w:rPr>
                <w:rFonts w:ascii="Corbel"/>
                <w:b/>
                <w:sz w:val="40"/>
              </w:rPr>
              <w:t>Doing</w:t>
            </w:r>
            <w:r>
              <w:rPr>
                <w:rFonts w:ascii="Corbel"/>
                <w:b/>
                <w:spacing w:val="-12"/>
                <w:sz w:val="40"/>
              </w:rPr>
              <w:t> </w:t>
            </w:r>
            <w:r>
              <w:rPr>
                <w:rFonts w:ascii="Corbel"/>
                <w:b/>
                <w:spacing w:val="-4"/>
                <w:sz w:val="40"/>
              </w:rPr>
              <w:t>With</w:t>
            </w:r>
          </w:p>
          <w:p>
            <w:pPr>
              <w:pStyle w:val="TableParagraph"/>
              <w:rPr>
                <w:sz w:val="40"/>
              </w:rPr>
            </w:pPr>
          </w:p>
          <w:p>
            <w:pPr>
              <w:pStyle w:val="TableParagraph"/>
              <w:rPr>
                <w:sz w:val="40"/>
              </w:rPr>
            </w:pPr>
          </w:p>
          <w:p>
            <w:pPr>
              <w:pStyle w:val="TableParagraph"/>
              <w:rPr>
                <w:sz w:val="40"/>
              </w:rPr>
            </w:pPr>
          </w:p>
          <w:p>
            <w:pPr>
              <w:pStyle w:val="TableParagraph"/>
              <w:rPr>
                <w:sz w:val="40"/>
              </w:rPr>
            </w:pPr>
          </w:p>
          <w:p>
            <w:pPr>
              <w:pStyle w:val="TableParagraph"/>
              <w:rPr>
                <w:sz w:val="40"/>
              </w:rPr>
            </w:pPr>
          </w:p>
          <w:p>
            <w:pPr>
              <w:pStyle w:val="TableParagraph"/>
              <w:rPr>
                <w:sz w:val="40"/>
              </w:rPr>
            </w:pPr>
          </w:p>
          <w:p>
            <w:pPr>
              <w:pStyle w:val="TableParagraph"/>
              <w:rPr>
                <w:sz w:val="40"/>
              </w:rPr>
            </w:pPr>
          </w:p>
          <w:p>
            <w:pPr>
              <w:pStyle w:val="TableParagraph"/>
              <w:rPr>
                <w:sz w:val="40"/>
              </w:rPr>
            </w:pPr>
          </w:p>
          <w:p>
            <w:pPr>
              <w:pStyle w:val="TableParagraph"/>
              <w:rPr>
                <w:sz w:val="40"/>
              </w:rPr>
            </w:pPr>
          </w:p>
          <w:p>
            <w:pPr>
              <w:pStyle w:val="TableParagraph"/>
              <w:rPr>
                <w:sz w:val="40"/>
              </w:rPr>
            </w:pPr>
          </w:p>
          <w:p>
            <w:pPr>
              <w:pStyle w:val="TableParagraph"/>
              <w:rPr>
                <w:sz w:val="40"/>
              </w:rPr>
            </w:pPr>
          </w:p>
          <w:p>
            <w:pPr>
              <w:pStyle w:val="TableParagraph"/>
              <w:rPr>
                <w:sz w:val="40"/>
              </w:rPr>
            </w:pPr>
          </w:p>
          <w:p>
            <w:pPr>
              <w:pStyle w:val="TableParagraph"/>
              <w:spacing w:before="2"/>
              <w:rPr>
                <w:sz w:val="38"/>
              </w:rPr>
            </w:pPr>
          </w:p>
          <w:p>
            <w:pPr>
              <w:pStyle w:val="TableParagraph"/>
              <w:ind w:left="1371"/>
              <w:rPr>
                <w:rFonts w:ascii="Corbel"/>
                <w:b/>
                <w:sz w:val="40"/>
              </w:rPr>
            </w:pPr>
            <w:r>
              <w:rPr>
                <w:rFonts w:ascii="Corbel"/>
                <w:b/>
                <w:sz w:val="40"/>
              </w:rPr>
              <w:t>Doing</w:t>
            </w:r>
            <w:r>
              <w:rPr>
                <w:rFonts w:ascii="Corbel"/>
                <w:b/>
                <w:spacing w:val="-12"/>
                <w:sz w:val="40"/>
              </w:rPr>
              <w:t> </w:t>
            </w:r>
            <w:r>
              <w:rPr>
                <w:rFonts w:ascii="Corbel"/>
                <w:b/>
                <w:spacing w:val="-7"/>
                <w:sz w:val="40"/>
              </w:rPr>
              <w:t>To</w:t>
            </w:r>
          </w:p>
        </w:tc>
      </w:tr>
      <w:tr>
        <w:trPr>
          <w:trHeight w:val="1134" w:hRule="atLeast"/>
        </w:trPr>
        <w:tc>
          <w:tcPr>
            <w:tcW w:w="11052" w:type="dxa"/>
          </w:tcPr>
          <w:p>
            <w:pPr>
              <w:pStyle w:val="TableParagraph"/>
              <w:spacing w:before="69"/>
              <w:ind w:left="107"/>
              <w:rPr>
                <w:rFonts w:ascii="Corbel"/>
                <w:b/>
                <w:sz w:val="28"/>
              </w:rPr>
            </w:pPr>
            <w:r>
              <w:rPr>
                <w:rFonts w:ascii="Corbel"/>
                <w:b/>
                <w:sz w:val="28"/>
                <w:u w:val="single"/>
              </w:rPr>
              <w:t>Shared</w:t>
            </w:r>
            <w:r>
              <w:rPr>
                <w:rFonts w:ascii="Corbel"/>
                <w:b/>
                <w:spacing w:val="-11"/>
                <w:sz w:val="28"/>
                <w:u w:val="single"/>
              </w:rPr>
              <w:t> </w:t>
            </w:r>
            <w:r>
              <w:rPr>
                <w:rFonts w:ascii="Corbel"/>
                <w:b/>
                <w:spacing w:val="-2"/>
                <w:sz w:val="28"/>
                <w:u w:val="single"/>
              </w:rPr>
              <w:t>decisions</w:t>
            </w:r>
          </w:p>
          <w:p>
            <w:pPr>
              <w:pStyle w:val="TableParagraph"/>
              <w:spacing w:line="283" w:lineRule="auto" w:before="32"/>
              <w:ind w:left="107"/>
              <w:rPr>
                <w:sz w:val="24"/>
              </w:rPr>
            </w:pPr>
            <w:r>
              <w:rPr>
                <w:w w:val="105"/>
                <w:sz w:val="24"/>
              </w:rPr>
              <w:t>The</w:t>
            </w:r>
            <w:r>
              <w:rPr>
                <w:spacing w:val="-5"/>
                <w:w w:val="105"/>
                <w:sz w:val="24"/>
              </w:rPr>
              <w:t> </w:t>
            </w:r>
            <w:r>
              <w:rPr>
                <w:w w:val="105"/>
                <w:sz w:val="24"/>
              </w:rPr>
              <w:t>organisation</w:t>
            </w:r>
            <w:r>
              <w:rPr>
                <w:spacing w:val="-3"/>
                <w:w w:val="105"/>
                <w:sz w:val="24"/>
              </w:rPr>
              <w:t> </w:t>
            </w:r>
            <w:r>
              <w:rPr>
                <w:w w:val="105"/>
                <w:sz w:val="24"/>
              </w:rPr>
              <w:t>has</w:t>
            </w:r>
            <w:r>
              <w:rPr>
                <w:spacing w:val="-5"/>
                <w:w w:val="105"/>
                <w:sz w:val="24"/>
              </w:rPr>
              <w:t> </w:t>
            </w:r>
            <w:r>
              <w:rPr>
                <w:w w:val="105"/>
                <w:sz w:val="24"/>
              </w:rPr>
              <w:t>the</w:t>
            </w:r>
            <w:r>
              <w:rPr>
                <w:spacing w:val="-5"/>
                <w:w w:val="105"/>
                <w:sz w:val="24"/>
              </w:rPr>
              <w:t> </w:t>
            </w:r>
            <w:r>
              <w:rPr>
                <w:w w:val="105"/>
                <w:sz w:val="24"/>
              </w:rPr>
              <w:t>main</w:t>
            </w:r>
            <w:r>
              <w:rPr>
                <w:spacing w:val="-3"/>
                <w:w w:val="105"/>
                <w:sz w:val="24"/>
              </w:rPr>
              <w:t> </w:t>
            </w:r>
            <w:r>
              <w:rPr>
                <w:w w:val="105"/>
                <w:sz w:val="24"/>
              </w:rPr>
              <w:t>idea,</w:t>
            </w:r>
            <w:r>
              <w:rPr>
                <w:spacing w:val="-5"/>
                <w:w w:val="105"/>
                <w:sz w:val="24"/>
              </w:rPr>
              <w:t> </w:t>
            </w:r>
            <w:r>
              <w:rPr>
                <w:w w:val="105"/>
                <w:sz w:val="24"/>
              </w:rPr>
              <w:t>stakeholders</w:t>
            </w:r>
            <w:r>
              <w:rPr>
                <w:spacing w:val="-5"/>
                <w:w w:val="105"/>
                <w:sz w:val="24"/>
              </w:rPr>
              <w:t> </w:t>
            </w:r>
            <w:r>
              <w:rPr>
                <w:w w:val="105"/>
                <w:sz w:val="24"/>
              </w:rPr>
              <w:t>help</w:t>
            </w:r>
            <w:r>
              <w:rPr>
                <w:spacing w:val="-3"/>
                <w:w w:val="105"/>
                <w:sz w:val="24"/>
              </w:rPr>
              <w:t> </w:t>
            </w:r>
            <w:r>
              <w:rPr>
                <w:w w:val="105"/>
                <w:sz w:val="24"/>
              </w:rPr>
              <w:t>make</w:t>
            </w:r>
            <w:r>
              <w:rPr>
                <w:spacing w:val="-5"/>
                <w:w w:val="105"/>
                <w:sz w:val="24"/>
              </w:rPr>
              <w:t> </w:t>
            </w:r>
            <w:r>
              <w:rPr>
                <w:w w:val="105"/>
                <w:sz w:val="24"/>
              </w:rPr>
              <w:t>decisions,</w:t>
            </w:r>
            <w:r>
              <w:rPr>
                <w:spacing w:val="-5"/>
                <w:w w:val="105"/>
                <w:sz w:val="24"/>
              </w:rPr>
              <w:t> </w:t>
            </w:r>
            <w:r>
              <w:rPr>
                <w:w w:val="105"/>
                <w:sz w:val="24"/>
              </w:rPr>
              <w:t>plan</w:t>
            </w:r>
            <w:r>
              <w:rPr>
                <w:spacing w:val="-5"/>
                <w:w w:val="105"/>
                <w:sz w:val="24"/>
              </w:rPr>
              <w:t> </w:t>
            </w:r>
            <w:r>
              <w:rPr>
                <w:w w:val="105"/>
                <w:sz w:val="24"/>
              </w:rPr>
              <w:t>and</w:t>
            </w:r>
            <w:r>
              <w:rPr>
                <w:spacing w:val="-3"/>
                <w:w w:val="105"/>
                <w:sz w:val="24"/>
              </w:rPr>
              <w:t> </w:t>
            </w:r>
            <w:r>
              <w:rPr>
                <w:w w:val="105"/>
                <w:sz w:val="24"/>
              </w:rPr>
              <w:t>carry</w:t>
            </w:r>
            <w:r>
              <w:rPr>
                <w:spacing w:val="-5"/>
                <w:w w:val="105"/>
                <w:sz w:val="24"/>
              </w:rPr>
              <w:t> </w:t>
            </w:r>
            <w:r>
              <w:rPr>
                <w:w w:val="105"/>
                <w:sz w:val="24"/>
              </w:rPr>
              <w:t>out</w:t>
            </w:r>
            <w:r>
              <w:rPr>
                <w:spacing w:val="-5"/>
                <w:w w:val="105"/>
                <w:sz w:val="24"/>
              </w:rPr>
              <w:t> </w:t>
            </w:r>
            <w:r>
              <w:rPr>
                <w:w w:val="105"/>
                <w:sz w:val="24"/>
              </w:rPr>
              <w:t>the </w:t>
            </w:r>
            <w:r>
              <w:rPr>
                <w:spacing w:val="-2"/>
                <w:w w:val="105"/>
                <w:sz w:val="24"/>
              </w:rPr>
              <w:t>project.</w:t>
            </w:r>
          </w:p>
        </w:tc>
        <w:tc>
          <w:tcPr>
            <w:tcW w:w="4315" w:type="dxa"/>
            <w:vMerge/>
            <w:tcBorders>
              <w:top w:val="nil"/>
            </w:tcBorders>
          </w:tcPr>
          <w:p>
            <w:pPr>
              <w:rPr>
                <w:sz w:val="2"/>
                <w:szCs w:val="2"/>
              </w:rPr>
            </w:pPr>
          </w:p>
        </w:tc>
      </w:tr>
      <w:tr>
        <w:trPr>
          <w:trHeight w:val="1648" w:hRule="atLeast"/>
        </w:trPr>
        <w:tc>
          <w:tcPr>
            <w:tcW w:w="11052" w:type="dxa"/>
          </w:tcPr>
          <w:p>
            <w:pPr>
              <w:pStyle w:val="TableParagraph"/>
              <w:spacing w:line="341" w:lineRule="exact"/>
              <w:ind w:left="107"/>
              <w:rPr>
                <w:rFonts w:ascii="Corbel"/>
                <w:b/>
                <w:sz w:val="28"/>
              </w:rPr>
            </w:pPr>
            <w:r>
              <w:rPr>
                <w:rFonts w:ascii="Corbel"/>
                <w:b/>
                <w:spacing w:val="-2"/>
                <w:sz w:val="28"/>
                <w:u w:val="single"/>
              </w:rPr>
              <w:t>Consulted</w:t>
            </w:r>
          </w:p>
          <w:p>
            <w:pPr>
              <w:pStyle w:val="TableParagraph"/>
              <w:spacing w:before="32"/>
              <w:ind w:left="107"/>
              <w:rPr>
                <w:sz w:val="24"/>
              </w:rPr>
            </w:pPr>
            <w:r>
              <w:rPr>
                <w:w w:val="105"/>
                <w:sz w:val="24"/>
              </w:rPr>
              <w:t>Stakeholders</w:t>
            </w:r>
            <w:r>
              <w:rPr>
                <w:spacing w:val="-11"/>
                <w:w w:val="105"/>
                <w:sz w:val="24"/>
              </w:rPr>
              <w:t> </w:t>
            </w:r>
            <w:r>
              <w:rPr>
                <w:w w:val="105"/>
                <w:sz w:val="24"/>
              </w:rPr>
              <w:t>are</w:t>
            </w:r>
            <w:r>
              <w:rPr>
                <w:spacing w:val="-11"/>
                <w:w w:val="105"/>
                <w:sz w:val="24"/>
              </w:rPr>
              <w:t> </w:t>
            </w:r>
            <w:r>
              <w:rPr>
                <w:w w:val="105"/>
                <w:sz w:val="24"/>
              </w:rPr>
              <w:t>consulted</w:t>
            </w:r>
            <w:r>
              <w:rPr>
                <w:spacing w:val="-10"/>
                <w:w w:val="105"/>
                <w:sz w:val="24"/>
              </w:rPr>
              <w:t> </w:t>
            </w:r>
            <w:r>
              <w:rPr>
                <w:w w:val="105"/>
                <w:sz w:val="24"/>
              </w:rPr>
              <w:t>and</w:t>
            </w:r>
            <w:r>
              <w:rPr>
                <w:spacing w:val="-9"/>
                <w:w w:val="105"/>
                <w:sz w:val="24"/>
              </w:rPr>
              <w:t> </w:t>
            </w:r>
            <w:r>
              <w:rPr>
                <w:spacing w:val="-2"/>
                <w:w w:val="105"/>
                <w:sz w:val="24"/>
              </w:rPr>
              <w:t>informed.</w:t>
            </w:r>
          </w:p>
          <w:p>
            <w:pPr>
              <w:pStyle w:val="TableParagraph"/>
              <w:spacing w:before="10"/>
              <w:rPr>
                <w:sz w:val="28"/>
              </w:rPr>
            </w:pPr>
          </w:p>
          <w:p>
            <w:pPr>
              <w:pStyle w:val="TableParagraph"/>
              <w:spacing w:line="320" w:lineRule="atLeast" w:before="1"/>
              <w:ind w:left="107"/>
              <w:rPr>
                <w:sz w:val="24"/>
              </w:rPr>
            </w:pPr>
            <w:r>
              <w:rPr>
                <w:w w:val="105"/>
                <w:sz w:val="24"/>
              </w:rPr>
              <w:t>The organisation designs and develops the</w:t>
            </w:r>
            <w:r>
              <w:rPr>
                <w:spacing w:val="-1"/>
                <w:w w:val="105"/>
                <w:sz w:val="24"/>
              </w:rPr>
              <w:t> </w:t>
            </w:r>
            <w:r>
              <w:rPr>
                <w:w w:val="105"/>
                <w:sz w:val="24"/>
              </w:rPr>
              <w:t>project but stakeholders’ opinions are taken into account and feedback given.</w:t>
            </w:r>
          </w:p>
        </w:tc>
        <w:tc>
          <w:tcPr>
            <w:tcW w:w="4315" w:type="dxa"/>
            <w:vMerge/>
            <w:tcBorders>
              <w:top w:val="nil"/>
            </w:tcBorders>
          </w:tcPr>
          <w:p>
            <w:pPr>
              <w:rPr>
                <w:sz w:val="2"/>
                <w:szCs w:val="2"/>
              </w:rPr>
            </w:pPr>
          </w:p>
        </w:tc>
      </w:tr>
      <w:tr>
        <w:trPr>
          <w:trHeight w:val="1322" w:hRule="atLeast"/>
        </w:trPr>
        <w:tc>
          <w:tcPr>
            <w:tcW w:w="11052" w:type="dxa"/>
          </w:tcPr>
          <w:p>
            <w:pPr>
              <w:pStyle w:val="TableParagraph"/>
              <w:spacing w:line="341" w:lineRule="exact"/>
              <w:ind w:left="107"/>
              <w:rPr>
                <w:rFonts w:ascii="Corbel"/>
                <w:b/>
                <w:sz w:val="28"/>
              </w:rPr>
            </w:pPr>
            <w:r>
              <w:rPr>
                <w:rFonts w:ascii="Corbel"/>
                <w:b/>
                <w:spacing w:val="-2"/>
                <w:sz w:val="28"/>
                <w:u w:val="single"/>
              </w:rPr>
              <w:t>Assigned</w:t>
            </w:r>
          </w:p>
          <w:p>
            <w:pPr>
              <w:pStyle w:val="TableParagraph"/>
              <w:spacing w:before="32"/>
              <w:ind w:left="107"/>
              <w:rPr>
                <w:sz w:val="24"/>
              </w:rPr>
            </w:pPr>
            <w:r>
              <w:rPr>
                <w:w w:val="105"/>
                <w:sz w:val="24"/>
              </w:rPr>
              <w:t>Stakeholders</w:t>
            </w:r>
            <w:r>
              <w:rPr>
                <w:spacing w:val="-17"/>
                <w:w w:val="105"/>
                <w:sz w:val="24"/>
              </w:rPr>
              <w:t> </w:t>
            </w:r>
            <w:r>
              <w:rPr>
                <w:w w:val="105"/>
                <w:sz w:val="24"/>
              </w:rPr>
              <w:t>are</w:t>
            </w:r>
            <w:r>
              <w:rPr>
                <w:spacing w:val="-16"/>
                <w:w w:val="105"/>
                <w:sz w:val="24"/>
              </w:rPr>
              <w:t> </w:t>
            </w:r>
            <w:r>
              <w:rPr>
                <w:w w:val="105"/>
                <w:sz w:val="24"/>
              </w:rPr>
              <w:t>assigned</w:t>
            </w:r>
            <w:r>
              <w:rPr>
                <w:spacing w:val="-16"/>
                <w:w w:val="105"/>
                <w:sz w:val="24"/>
              </w:rPr>
              <w:t> </w:t>
            </w:r>
            <w:r>
              <w:rPr>
                <w:w w:val="105"/>
                <w:sz w:val="24"/>
              </w:rPr>
              <w:t>but</w:t>
            </w:r>
            <w:r>
              <w:rPr>
                <w:spacing w:val="-16"/>
                <w:w w:val="105"/>
                <w:sz w:val="24"/>
              </w:rPr>
              <w:t> </w:t>
            </w:r>
            <w:r>
              <w:rPr>
                <w:spacing w:val="-2"/>
                <w:w w:val="105"/>
                <w:sz w:val="24"/>
              </w:rPr>
              <w:t>informed.</w:t>
            </w:r>
          </w:p>
          <w:p>
            <w:pPr>
              <w:pStyle w:val="TableParagraph"/>
              <w:spacing w:line="320" w:lineRule="atLeast" w:before="7"/>
              <w:ind w:left="107" w:right="154"/>
              <w:rPr>
                <w:sz w:val="24"/>
              </w:rPr>
            </w:pPr>
            <w:r>
              <w:rPr>
                <w:w w:val="105"/>
                <w:sz w:val="24"/>
              </w:rPr>
              <w:t>The organisation decides on the</w:t>
            </w:r>
            <w:r>
              <w:rPr>
                <w:spacing w:val="-1"/>
                <w:w w:val="105"/>
                <w:sz w:val="24"/>
              </w:rPr>
              <w:t> </w:t>
            </w:r>
            <w:r>
              <w:rPr>
                <w:w w:val="105"/>
                <w:sz w:val="24"/>
              </w:rPr>
              <w:t>project and stakeholders volunteer. Stakeholders understand the project and the organisation respects their views.</w:t>
            </w:r>
          </w:p>
        </w:tc>
        <w:tc>
          <w:tcPr>
            <w:tcW w:w="4315" w:type="dxa"/>
            <w:vMerge/>
            <w:tcBorders>
              <w:top w:val="nil"/>
            </w:tcBorders>
          </w:tcPr>
          <w:p>
            <w:pPr>
              <w:rPr>
                <w:sz w:val="2"/>
                <w:szCs w:val="2"/>
              </w:rPr>
            </w:pPr>
          </w:p>
        </w:tc>
      </w:tr>
      <w:tr>
        <w:trPr>
          <w:trHeight w:val="1134" w:hRule="atLeast"/>
        </w:trPr>
        <w:tc>
          <w:tcPr>
            <w:tcW w:w="11052" w:type="dxa"/>
          </w:tcPr>
          <w:p>
            <w:pPr>
              <w:pStyle w:val="TableParagraph"/>
              <w:spacing w:before="69"/>
              <w:ind w:left="107"/>
              <w:rPr>
                <w:rFonts w:ascii="Corbel"/>
                <w:b/>
                <w:sz w:val="28"/>
              </w:rPr>
            </w:pPr>
            <w:r>
              <w:rPr>
                <w:rFonts w:ascii="Corbel"/>
                <w:b/>
                <w:spacing w:val="-2"/>
                <w:sz w:val="28"/>
                <w:u w:val="single"/>
              </w:rPr>
              <w:t>Tokenism</w:t>
            </w:r>
          </w:p>
          <w:p>
            <w:pPr>
              <w:pStyle w:val="TableParagraph"/>
              <w:spacing w:line="285" w:lineRule="auto" w:before="32"/>
              <w:ind w:left="107" w:right="154"/>
              <w:rPr>
                <w:sz w:val="24"/>
              </w:rPr>
            </w:pPr>
            <w:r>
              <w:rPr>
                <w:w w:val="105"/>
                <w:sz w:val="24"/>
              </w:rPr>
              <w:t>Stakeholders</w:t>
            </w:r>
            <w:r>
              <w:rPr>
                <w:spacing w:val="-8"/>
                <w:w w:val="105"/>
                <w:sz w:val="24"/>
              </w:rPr>
              <w:t> </w:t>
            </w:r>
            <w:r>
              <w:rPr>
                <w:w w:val="105"/>
                <w:sz w:val="24"/>
              </w:rPr>
              <w:t>have</w:t>
            </w:r>
            <w:r>
              <w:rPr>
                <w:spacing w:val="-8"/>
                <w:w w:val="105"/>
                <w:sz w:val="24"/>
              </w:rPr>
              <w:t> </w:t>
            </w:r>
            <w:r>
              <w:rPr>
                <w:w w:val="105"/>
                <w:sz w:val="24"/>
              </w:rPr>
              <w:t>limited</w:t>
            </w:r>
            <w:r>
              <w:rPr>
                <w:spacing w:val="-7"/>
                <w:w w:val="105"/>
                <w:sz w:val="24"/>
              </w:rPr>
              <w:t> </w:t>
            </w:r>
            <w:r>
              <w:rPr>
                <w:w w:val="105"/>
                <w:sz w:val="24"/>
              </w:rPr>
              <w:t>voice</w:t>
            </w:r>
            <w:r>
              <w:rPr>
                <w:spacing w:val="-8"/>
                <w:w w:val="105"/>
                <w:sz w:val="24"/>
              </w:rPr>
              <w:t> </w:t>
            </w:r>
            <w:r>
              <w:rPr>
                <w:w w:val="105"/>
                <w:sz w:val="24"/>
              </w:rPr>
              <w:t>&amp;</w:t>
            </w:r>
            <w:r>
              <w:rPr>
                <w:spacing w:val="-8"/>
                <w:w w:val="105"/>
                <w:sz w:val="24"/>
              </w:rPr>
              <w:t> </w:t>
            </w:r>
            <w:r>
              <w:rPr>
                <w:w w:val="105"/>
                <w:sz w:val="24"/>
              </w:rPr>
              <w:t>choice</w:t>
            </w:r>
            <w:r>
              <w:rPr>
                <w:spacing w:val="-8"/>
                <w:w w:val="105"/>
                <w:sz w:val="24"/>
              </w:rPr>
              <w:t> </w:t>
            </w:r>
            <w:r>
              <w:rPr>
                <w:w w:val="105"/>
                <w:sz w:val="24"/>
              </w:rPr>
              <w:t>about</w:t>
            </w:r>
            <w:r>
              <w:rPr>
                <w:spacing w:val="-8"/>
                <w:w w:val="105"/>
                <w:sz w:val="24"/>
              </w:rPr>
              <w:t> </w:t>
            </w:r>
            <w:r>
              <w:rPr>
                <w:w w:val="105"/>
                <w:sz w:val="24"/>
              </w:rPr>
              <w:t>what</w:t>
            </w:r>
            <w:r>
              <w:rPr>
                <w:spacing w:val="-7"/>
                <w:w w:val="105"/>
                <w:sz w:val="24"/>
              </w:rPr>
              <w:t> </w:t>
            </w:r>
            <w:r>
              <w:rPr>
                <w:w w:val="105"/>
                <w:sz w:val="24"/>
              </w:rPr>
              <w:t>they</w:t>
            </w:r>
            <w:r>
              <w:rPr>
                <w:spacing w:val="-8"/>
                <w:w w:val="105"/>
                <w:sz w:val="24"/>
              </w:rPr>
              <w:t> </w:t>
            </w:r>
            <w:r>
              <w:rPr>
                <w:w w:val="105"/>
                <w:sz w:val="24"/>
              </w:rPr>
              <w:t>can</w:t>
            </w:r>
            <w:r>
              <w:rPr>
                <w:spacing w:val="-9"/>
                <w:w w:val="105"/>
                <w:sz w:val="24"/>
              </w:rPr>
              <w:t> </w:t>
            </w:r>
            <w:r>
              <w:rPr>
                <w:w w:val="105"/>
                <w:sz w:val="24"/>
              </w:rPr>
              <w:t>say</w:t>
            </w:r>
            <w:r>
              <w:rPr>
                <w:spacing w:val="-8"/>
                <w:w w:val="105"/>
                <w:sz w:val="24"/>
              </w:rPr>
              <w:t> </w:t>
            </w:r>
            <w:r>
              <w:rPr>
                <w:w w:val="105"/>
                <w:sz w:val="24"/>
              </w:rPr>
              <w:t>and</w:t>
            </w:r>
            <w:r>
              <w:rPr>
                <w:spacing w:val="-7"/>
                <w:w w:val="105"/>
                <w:sz w:val="24"/>
              </w:rPr>
              <w:t> </w:t>
            </w:r>
            <w:r>
              <w:rPr>
                <w:w w:val="105"/>
                <w:sz w:val="24"/>
              </w:rPr>
              <w:t>how</w:t>
            </w:r>
            <w:r>
              <w:rPr>
                <w:spacing w:val="-7"/>
                <w:w w:val="105"/>
                <w:sz w:val="24"/>
              </w:rPr>
              <w:t> </w:t>
            </w:r>
            <w:r>
              <w:rPr>
                <w:w w:val="105"/>
                <w:sz w:val="24"/>
              </w:rPr>
              <w:t>they</w:t>
            </w:r>
            <w:r>
              <w:rPr>
                <w:spacing w:val="-8"/>
                <w:w w:val="105"/>
                <w:sz w:val="24"/>
              </w:rPr>
              <w:t> </w:t>
            </w:r>
            <w:r>
              <w:rPr>
                <w:w w:val="105"/>
                <w:sz w:val="24"/>
              </w:rPr>
              <w:t>can </w:t>
            </w:r>
            <w:r>
              <w:rPr>
                <w:spacing w:val="-2"/>
                <w:w w:val="105"/>
                <w:sz w:val="24"/>
              </w:rPr>
              <w:t>communicate.</w:t>
            </w:r>
          </w:p>
        </w:tc>
        <w:tc>
          <w:tcPr>
            <w:tcW w:w="4315" w:type="dxa"/>
            <w:vMerge/>
            <w:tcBorders>
              <w:top w:val="nil"/>
            </w:tcBorders>
          </w:tcPr>
          <w:p>
            <w:pPr>
              <w:rPr>
                <w:sz w:val="2"/>
                <w:szCs w:val="2"/>
              </w:rPr>
            </w:pPr>
          </w:p>
        </w:tc>
      </w:tr>
      <w:tr>
        <w:trPr>
          <w:trHeight w:val="1133" w:hRule="atLeast"/>
        </w:trPr>
        <w:tc>
          <w:tcPr>
            <w:tcW w:w="11052" w:type="dxa"/>
          </w:tcPr>
          <w:p>
            <w:pPr>
              <w:pStyle w:val="TableParagraph"/>
              <w:spacing w:before="232"/>
              <w:ind w:left="107"/>
              <w:rPr>
                <w:rFonts w:ascii="Corbel"/>
                <w:b/>
                <w:sz w:val="28"/>
              </w:rPr>
            </w:pPr>
            <w:r>
              <w:rPr>
                <w:rFonts w:ascii="Corbel"/>
                <w:b/>
                <w:spacing w:val="-2"/>
                <w:sz w:val="28"/>
                <w:u w:val="single"/>
              </w:rPr>
              <w:t>Decoration</w:t>
            </w:r>
          </w:p>
          <w:p>
            <w:pPr>
              <w:pStyle w:val="TableParagraph"/>
              <w:spacing w:before="32"/>
              <w:ind w:left="107"/>
              <w:rPr>
                <w:sz w:val="24"/>
              </w:rPr>
            </w:pPr>
            <w:r>
              <w:rPr>
                <w:w w:val="105"/>
                <w:sz w:val="24"/>
              </w:rPr>
              <w:t>Stakeholders</w:t>
            </w:r>
            <w:r>
              <w:rPr>
                <w:spacing w:val="-6"/>
                <w:w w:val="105"/>
                <w:sz w:val="24"/>
              </w:rPr>
              <w:t> </w:t>
            </w:r>
            <w:r>
              <w:rPr>
                <w:w w:val="105"/>
                <w:sz w:val="24"/>
              </w:rPr>
              <w:t>take</w:t>
            </w:r>
            <w:r>
              <w:rPr>
                <w:spacing w:val="-6"/>
                <w:w w:val="105"/>
                <w:sz w:val="24"/>
              </w:rPr>
              <w:t> </w:t>
            </w:r>
            <w:r>
              <w:rPr>
                <w:w w:val="105"/>
                <w:sz w:val="24"/>
              </w:rPr>
              <w:t>part</w:t>
            </w:r>
            <w:r>
              <w:rPr>
                <w:spacing w:val="-5"/>
                <w:w w:val="105"/>
                <w:sz w:val="24"/>
              </w:rPr>
              <w:t> </w:t>
            </w:r>
            <w:r>
              <w:rPr>
                <w:w w:val="105"/>
                <w:sz w:val="24"/>
              </w:rPr>
              <w:t>in</w:t>
            </w:r>
            <w:r>
              <w:rPr>
                <w:spacing w:val="-5"/>
                <w:w w:val="105"/>
                <w:sz w:val="24"/>
              </w:rPr>
              <w:t> </w:t>
            </w:r>
            <w:r>
              <w:rPr>
                <w:w w:val="105"/>
                <w:sz w:val="24"/>
              </w:rPr>
              <w:t>an</w:t>
            </w:r>
            <w:r>
              <w:rPr>
                <w:spacing w:val="-6"/>
                <w:w w:val="105"/>
                <w:sz w:val="24"/>
              </w:rPr>
              <w:t> </w:t>
            </w:r>
            <w:r>
              <w:rPr>
                <w:w w:val="105"/>
                <w:sz w:val="24"/>
              </w:rPr>
              <w:t>event</w:t>
            </w:r>
            <w:r>
              <w:rPr>
                <w:spacing w:val="-4"/>
                <w:w w:val="105"/>
                <w:sz w:val="24"/>
              </w:rPr>
              <w:t> </w:t>
            </w:r>
            <w:r>
              <w:rPr>
                <w:w w:val="105"/>
                <w:sz w:val="24"/>
              </w:rPr>
              <w:t>in</w:t>
            </w:r>
            <w:r>
              <w:rPr>
                <w:spacing w:val="-5"/>
                <w:w w:val="105"/>
                <w:sz w:val="24"/>
              </w:rPr>
              <w:t> </w:t>
            </w:r>
            <w:r>
              <w:rPr>
                <w:w w:val="105"/>
                <w:sz w:val="24"/>
              </w:rPr>
              <w:t>a</w:t>
            </w:r>
            <w:r>
              <w:rPr>
                <w:spacing w:val="-6"/>
                <w:w w:val="105"/>
                <w:sz w:val="24"/>
              </w:rPr>
              <w:t> </w:t>
            </w:r>
            <w:r>
              <w:rPr>
                <w:w w:val="105"/>
                <w:sz w:val="24"/>
              </w:rPr>
              <w:t>very</w:t>
            </w:r>
            <w:r>
              <w:rPr>
                <w:spacing w:val="-5"/>
                <w:w w:val="105"/>
                <w:sz w:val="24"/>
              </w:rPr>
              <w:t> </w:t>
            </w:r>
            <w:r>
              <w:rPr>
                <w:w w:val="105"/>
                <w:sz w:val="24"/>
              </w:rPr>
              <w:t>limited</w:t>
            </w:r>
            <w:r>
              <w:rPr>
                <w:spacing w:val="-5"/>
                <w:w w:val="105"/>
                <w:sz w:val="24"/>
              </w:rPr>
              <w:t> </w:t>
            </w:r>
            <w:r>
              <w:rPr>
                <w:w w:val="105"/>
                <w:sz w:val="24"/>
              </w:rPr>
              <w:t>way</w:t>
            </w:r>
            <w:r>
              <w:rPr>
                <w:spacing w:val="-6"/>
                <w:w w:val="105"/>
                <w:sz w:val="24"/>
              </w:rPr>
              <w:t> </w:t>
            </w:r>
            <w:r>
              <w:rPr>
                <w:w w:val="105"/>
                <w:sz w:val="24"/>
              </w:rPr>
              <w:t>and</w:t>
            </w:r>
            <w:r>
              <w:rPr>
                <w:spacing w:val="-5"/>
                <w:w w:val="105"/>
                <w:sz w:val="24"/>
              </w:rPr>
              <w:t> </w:t>
            </w:r>
            <w:r>
              <w:rPr>
                <w:w w:val="105"/>
                <w:sz w:val="24"/>
              </w:rPr>
              <w:t>have</w:t>
            </w:r>
            <w:r>
              <w:rPr>
                <w:spacing w:val="-6"/>
                <w:w w:val="105"/>
                <w:sz w:val="24"/>
              </w:rPr>
              <w:t> </w:t>
            </w:r>
            <w:r>
              <w:rPr>
                <w:w w:val="105"/>
                <w:sz w:val="24"/>
              </w:rPr>
              <w:t>no</w:t>
            </w:r>
            <w:r>
              <w:rPr>
                <w:spacing w:val="-6"/>
                <w:w w:val="105"/>
                <w:sz w:val="24"/>
              </w:rPr>
              <w:t> </w:t>
            </w:r>
            <w:r>
              <w:rPr>
                <w:w w:val="105"/>
                <w:sz w:val="24"/>
              </w:rPr>
              <w:t>role</w:t>
            </w:r>
            <w:r>
              <w:rPr>
                <w:spacing w:val="-6"/>
                <w:w w:val="105"/>
                <w:sz w:val="24"/>
              </w:rPr>
              <w:t> </w:t>
            </w:r>
            <w:r>
              <w:rPr>
                <w:w w:val="105"/>
                <w:sz w:val="24"/>
              </w:rPr>
              <w:t>in</w:t>
            </w:r>
            <w:r>
              <w:rPr>
                <w:spacing w:val="-5"/>
                <w:w w:val="105"/>
                <w:sz w:val="24"/>
              </w:rPr>
              <w:t> </w:t>
            </w:r>
            <w:r>
              <w:rPr>
                <w:w w:val="105"/>
                <w:sz w:val="24"/>
              </w:rPr>
              <w:t>decision-</w:t>
            </w:r>
            <w:r>
              <w:rPr>
                <w:spacing w:val="-2"/>
                <w:w w:val="105"/>
                <w:sz w:val="24"/>
              </w:rPr>
              <w:t>making.</w:t>
            </w:r>
          </w:p>
        </w:tc>
        <w:tc>
          <w:tcPr>
            <w:tcW w:w="4315" w:type="dxa"/>
            <w:vMerge/>
            <w:tcBorders>
              <w:top w:val="nil"/>
            </w:tcBorders>
          </w:tcPr>
          <w:p>
            <w:pPr>
              <w:rPr>
                <w:sz w:val="2"/>
                <w:szCs w:val="2"/>
              </w:rPr>
            </w:pPr>
          </w:p>
        </w:tc>
      </w:tr>
      <w:tr>
        <w:trPr>
          <w:trHeight w:val="1134" w:hRule="atLeast"/>
        </w:trPr>
        <w:tc>
          <w:tcPr>
            <w:tcW w:w="11052" w:type="dxa"/>
          </w:tcPr>
          <w:p>
            <w:pPr>
              <w:pStyle w:val="TableParagraph"/>
              <w:spacing w:before="69"/>
              <w:ind w:left="107"/>
              <w:rPr>
                <w:rFonts w:ascii="Corbel"/>
                <w:b/>
                <w:sz w:val="28"/>
              </w:rPr>
            </w:pPr>
            <w:r>
              <w:rPr>
                <w:rFonts w:ascii="Corbel"/>
                <w:b/>
                <w:spacing w:val="-2"/>
                <w:sz w:val="28"/>
                <w:u w:val="single"/>
              </w:rPr>
              <w:t>Manipulation</w:t>
            </w:r>
          </w:p>
          <w:p>
            <w:pPr>
              <w:pStyle w:val="TableParagraph"/>
              <w:spacing w:line="283" w:lineRule="auto" w:before="32"/>
              <w:ind w:left="107"/>
              <w:rPr>
                <w:sz w:val="24"/>
              </w:rPr>
            </w:pPr>
            <w:r>
              <w:rPr>
                <w:w w:val="105"/>
                <w:sz w:val="24"/>
              </w:rPr>
              <w:t>The</w:t>
            </w:r>
            <w:r>
              <w:rPr>
                <w:spacing w:val="-4"/>
                <w:w w:val="105"/>
                <w:sz w:val="24"/>
              </w:rPr>
              <w:t> </w:t>
            </w:r>
            <w:r>
              <w:rPr>
                <w:w w:val="105"/>
                <w:sz w:val="24"/>
              </w:rPr>
              <w:t>organisation</w:t>
            </w:r>
            <w:r>
              <w:rPr>
                <w:spacing w:val="-3"/>
                <w:w w:val="105"/>
                <w:sz w:val="24"/>
              </w:rPr>
              <w:t> </w:t>
            </w:r>
            <w:r>
              <w:rPr>
                <w:w w:val="105"/>
                <w:sz w:val="24"/>
              </w:rPr>
              <w:t>has</w:t>
            </w:r>
            <w:r>
              <w:rPr>
                <w:spacing w:val="-4"/>
                <w:w w:val="105"/>
                <w:sz w:val="24"/>
              </w:rPr>
              <w:t> </w:t>
            </w:r>
            <w:r>
              <w:rPr>
                <w:w w:val="105"/>
                <w:sz w:val="24"/>
              </w:rPr>
              <w:t>complete</w:t>
            </w:r>
            <w:r>
              <w:rPr>
                <w:spacing w:val="-5"/>
                <w:w w:val="105"/>
                <w:sz w:val="24"/>
              </w:rPr>
              <w:t> </w:t>
            </w:r>
            <w:r>
              <w:rPr>
                <w:w w:val="105"/>
                <w:sz w:val="24"/>
              </w:rPr>
              <w:t>and</w:t>
            </w:r>
            <w:r>
              <w:rPr>
                <w:spacing w:val="-3"/>
                <w:w w:val="105"/>
                <w:sz w:val="24"/>
              </w:rPr>
              <w:t> </w:t>
            </w:r>
            <w:r>
              <w:rPr>
                <w:w w:val="105"/>
                <w:sz w:val="24"/>
              </w:rPr>
              <w:t>unchallenged</w:t>
            </w:r>
            <w:r>
              <w:rPr>
                <w:spacing w:val="-3"/>
                <w:w w:val="105"/>
                <w:sz w:val="24"/>
              </w:rPr>
              <w:t> </w:t>
            </w:r>
            <w:r>
              <w:rPr>
                <w:w w:val="105"/>
                <w:sz w:val="24"/>
              </w:rPr>
              <w:t>authority</w:t>
            </w:r>
            <w:r>
              <w:rPr>
                <w:spacing w:val="-4"/>
                <w:w w:val="105"/>
                <w:sz w:val="24"/>
              </w:rPr>
              <w:t> </w:t>
            </w:r>
            <w:r>
              <w:rPr>
                <w:w w:val="105"/>
                <w:sz w:val="24"/>
              </w:rPr>
              <w:t>and</w:t>
            </w:r>
            <w:r>
              <w:rPr>
                <w:spacing w:val="-3"/>
                <w:w w:val="105"/>
                <w:sz w:val="24"/>
              </w:rPr>
              <w:t> </w:t>
            </w:r>
            <w:r>
              <w:rPr>
                <w:w w:val="105"/>
                <w:sz w:val="24"/>
              </w:rPr>
              <w:t>they</w:t>
            </w:r>
            <w:r>
              <w:rPr>
                <w:spacing w:val="-4"/>
                <w:w w:val="105"/>
                <w:sz w:val="24"/>
              </w:rPr>
              <w:t> </w:t>
            </w:r>
            <w:r>
              <w:rPr>
                <w:w w:val="105"/>
                <w:sz w:val="24"/>
              </w:rPr>
              <w:t>use</w:t>
            </w:r>
            <w:r>
              <w:rPr>
                <w:spacing w:val="-5"/>
                <w:w w:val="105"/>
                <w:sz w:val="24"/>
              </w:rPr>
              <w:t> </w:t>
            </w:r>
            <w:r>
              <w:rPr>
                <w:w w:val="105"/>
                <w:sz w:val="24"/>
              </w:rPr>
              <w:t>stakeholders’</w:t>
            </w:r>
            <w:r>
              <w:rPr>
                <w:spacing w:val="-4"/>
                <w:w w:val="105"/>
                <w:sz w:val="24"/>
              </w:rPr>
              <w:t> </w:t>
            </w:r>
            <w:r>
              <w:rPr>
                <w:w w:val="105"/>
                <w:sz w:val="24"/>
              </w:rPr>
              <w:t>ideas</w:t>
            </w:r>
            <w:r>
              <w:rPr>
                <w:spacing w:val="-4"/>
                <w:w w:val="105"/>
                <w:sz w:val="24"/>
              </w:rPr>
              <w:t> </w:t>
            </w:r>
            <w:r>
              <w:rPr>
                <w:w w:val="105"/>
                <w:sz w:val="24"/>
              </w:rPr>
              <w:t>and choices for their own gain.</w:t>
            </w:r>
          </w:p>
        </w:tc>
        <w:tc>
          <w:tcPr>
            <w:tcW w:w="4315" w:type="dxa"/>
            <w:vMerge/>
            <w:tcBorders>
              <w:top w:val="nil"/>
            </w:tcBorders>
          </w:tcPr>
          <w:p>
            <w:pPr>
              <w:rPr>
                <w:sz w:val="2"/>
                <w:szCs w:val="2"/>
              </w:rPr>
            </w:pPr>
          </w:p>
        </w:tc>
      </w:tr>
    </w:tbl>
    <w:p>
      <w:pPr>
        <w:pStyle w:val="BodyText"/>
        <w:rPr>
          <w:sz w:val="20"/>
        </w:rPr>
      </w:pPr>
    </w:p>
    <w:p>
      <w:pPr>
        <w:spacing w:before="169"/>
        <w:ind w:left="280" w:right="0" w:firstLine="0"/>
        <w:jc w:val="left"/>
        <w:rPr>
          <w:rFonts w:ascii="Corbel" w:hAnsi="Corbel"/>
          <w:sz w:val="22"/>
        </w:rPr>
      </w:pPr>
      <w:r>
        <w:rPr/>
        <w:pict>
          <v:group style="position:absolute;margin-left:653.224915pt;margin-top:-378.859253pt;width:87pt;height:300.9pt;mso-position-horizontal-relative:page;mso-position-vertical-relative:paragraph;z-index:-15805440" id="docshapegroup10" coordorigin="13064,-7577" coordsize="1740,6018">
            <v:shape style="position:absolute;left:13094;top:-7548;width:1680;height:5958" id="docshape11" coordorigin="13094,-7547" coordsize="1680,5958" path="m13934,-7547l13094,-6707,13514,-6707,13514,-2429,13094,-2429,13934,-1589,14774,-2429,14354,-2429,14354,-6707,14774,-6707,13934,-7547xe" filled="true" fillcolor="#4189b3" stroked="false">
              <v:path arrowok="t"/>
              <v:fill type="solid"/>
            </v:shape>
            <v:shape style="position:absolute;left:13094;top:-7548;width:1680;height:5958" id="docshape12" coordorigin="13094,-7547" coordsize="1680,5958" path="m13094,-6707l13934,-7547,14774,-6707,14354,-6707,14354,-2429,14774,-2429,13934,-1589,13094,-2429,13514,-2429,13514,-6707,13094,-6707xe" filled="false" stroked="true" strokeweight="3pt" strokecolor="#ffffff">
              <v:path arrowok="t"/>
              <v:stroke dashstyle="solid"/>
            </v:shape>
            <w10:wrap type="none"/>
          </v:group>
        </w:pict>
      </w:r>
      <w:r>
        <w:rPr>
          <w:rFonts w:ascii="Corbel" w:hAnsi="Corbel"/>
          <w:sz w:val="22"/>
        </w:rPr>
        <w:t>Adapted</w:t>
      </w:r>
      <w:r>
        <w:rPr>
          <w:rFonts w:ascii="Corbel" w:hAnsi="Corbel"/>
          <w:spacing w:val="-10"/>
          <w:sz w:val="22"/>
        </w:rPr>
        <w:t> </w:t>
      </w:r>
      <w:r>
        <w:rPr>
          <w:rFonts w:ascii="Corbel" w:hAnsi="Corbel"/>
          <w:sz w:val="22"/>
        </w:rPr>
        <w:t>from</w:t>
      </w:r>
      <w:r>
        <w:rPr>
          <w:rFonts w:ascii="Corbel" w:hAnsi="Corbel"/>
          <w:spacing w:val="-9"/>
          <w:sz w:val="22"/>
        </w:rPr>
        <w:t> </w:t>
      </w:r>
      <w:r>
        <w:rPr>
          <w:rFonts w:ascii="Corbel" w:hAnsi="Corbel"/>
          <w:sz w:val="22"/>
        </w:rPr>
        <w:t>Hart’s</w:t>
      </w:r>
      <w:r>
        <w:rPr>
          <w:rFonts w:ascii="Corbel" w:hAnsi="Corbel"/>
          <w:spacing w:val="-9"/>
          <w:sz w:val="22"/>
        </w:rPr>
        <w:t> </w:t>
      </w:r>
      <w:r>
        <w:rPr>
          <w:rFonts w:ascii="Corbel" w:hAnsi="Corbel"/>
          <w:sz w:val="22"/>
        </w:rPr>
        <w:t>Ladder</w:t>
      </w:r>
      <w:r>
        <w:rPr>
          <w:rFonts w:ascii="Corbel" w:hAnsi="Corbel"/>
          <w:spacing w:val="-10"/>
          <w:sz w:val="22"/>
        </w:rPr>
        <w:t> </w:t>
      </w:r>
      <w:r>
        <w:rPr>
          <w:rFonts w:ascii="Corbel" w:hAnsi="Corbel"/>
          <w:sz w:val="22"/>
        </w:rPr>
        <w:t>of</w:t>
      </w:r>
      <w:r>
        <w:rPr>
          <w:rFonts w:ascii="Corbel" w:hAnsi="Corbel"/>
          <w:spacing w:val="-9"/>
          <w:sz w:val="22"/>
        </w:rPr>
        <w:t> </w:t>
      </w:r>
      <w:r>
        <w:rPr>
          <w:rFonts w:ascii="Corbel" w:hAnsi="Corbel"/>
          <w:sz w:val="22"/>
        </w:rPr>
        <w:t>Participation</w:t>
      </w:r>
      <w:r>
        <w:rPr>
          <w:rFonts w:ascii="Corbel" w:hAnsi="Corbel"/>
          <w:spacing w:val="-9"/>
          <w:sz w:val="22"/>
        </w:rPr>
        <w:t> </w:t>
      </w:r>
      <w:r>
        <w:rPr>
          <w:rFonts w:ascii="Corbel" w:hAnsi="Corbel"/>
          <w:spacing w:val="-2"/>
          <w:sz w:val="22"/>
        </w:rPr>
        <w:t>(1992)</w:t>
      </w:r>
    </w:p>
    <w:sectPr>
      <w:pgSz w:w="16820" w:h="11910" w:orient="landscape"/>
      <w:pgMar w:header="0" w:footer="345" w:top="700" w:bottom="540" w:left="440" w:right="4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ourier New">
    <w:altName w:val="Courier New"/>
    <w:charset w:val="0"/>
    <w:family w:val="modern"/>
    <w:pitch w:val="fixed"/>
  </w:font>
  <w:font w:name="Corbel">
    <w:altName w:val="Corbe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92.719971pt;margin-top:566.830627pt;width:16.1500pt;height:12.9pt;mso-position-horizontal-relative:page;mso-position-vertical-relative:page;z-index:-15807488" type="#_x0000_t202" id="docshape9" filled="false" stroked="false">
          <v:textbox inset="0,0,0,0">
            <w:txbxContent>
              <w:p>
                <w:pPr>
                  <w:spacing w:before="40"/>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18</w:t>
                </w:r>
                <w:r>
                  <w:rPr>
                    <w:spacing w:val="-5"/>
                    <w:sz w:val="16"/>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1080" w:hanging="360"/>
      </w:pPr>
      <w:rPr>
        <w:rFonts w:hint="default" w:ascii="Courier New" w:hAnsi="Courier New" w:eastAsia="Courier New" w:cs="Courier New"/>
        <w:b w:val="0"/>
        <w:bCs w:val="0"/>
        <w:i w:val="0"/>
        <w:iCs w:val="0"/>
        <w:w w:val="100"/>
        <w:sz w:val="24"/>
        <w:szCs w:val="24"/>
        <w:lang w:val="en-US" w:eastAsia="en-US" w:bidi="ar-SA"/>
      </w:rPr>
    </w:lvl>
    <w:lvl w:ilvl="1">
      <w:start w:val="0"/>
      <w:numFmt w:val="bullet"/>
      <w:lvlText w:val="•"/>
      <w:lvlJc w:val="left"/>
      <w:pPr>
        <w:ind w:left="2565" w:hanging="360"/>
      </w:pPr>
      <w:rPr>
        <w:rFonts w:hint="default"/>
        <w:lang w:val="en-US" w:eastAsia="en-US" w:bidi="ar-SA"/>
      </w:rPr>
    </w:lvl>
    <w:lvl w:ilvl="2">
      <w:start w:val="0"/>
      <w:numFmt w:val="bullet"/>
      <w:lvlText w:val="•"/>
      <w:lvlJc w:val="left"/>
      <w:pPr>
        <w:ind w:left="4051" w:hanging="360"/>
      </w:pPr>
      <w:rPr>
        <w:rFonts w:hint="default"/>
        <w:lang w:val="en-US" w:eastAsia="en-US" w:bidi="ar-SA"/>
      </w:rPr>
    </w:lvl>
    <w:lvl w:ilvl="3">
      <w:start w:val="0"/>
      <w:numFmt w:val="bullet"/>
      <w:lvlText w:val="•"/>
      <w:lvlJc w:val="left"/>
      <w:pPr>
        <w:ind w:left="5537" w:hanging="360"/>
      </w:pPr>
      <w:rPr>
        <w:rFonts w:hint="default"/>
        <w:lang w:val="en-US" w:eastAsia="en-US" w:bidi="ar-SA"/>
      </w:rPr>
    </w:lvl>
    <w:lvl w:ilvl="4">
      <w:start w:val="0"/>
      <w:numFmt w:val="bullet"/>
      <w:lvlText w:val="•"/>
      <w:lvlJc w:val="left"/>
      <w:pPr>
        <w:ind w:left="7022" w:hanging="360"/>
      </w:pPr>
      <w:rPr>
        <w:rFonts w:hint="default"/>
        <w:lang w:val="en-US" w:eastAsia="en-US" w:bidi="ar-SA"/>
      </w:rPr>
    </w:lvl>
    <w:lvl w:ilvl="5">
      <w:start w:val="0"/>
      <w:numFmt w:val="bullet"/>
      <w:lvlText w:val="•"/>
      <w:lvlJc w:val="left"/>
      <w:pPr>
        <w:ind w:left="8508" w:hanging="360"/>
      </w:pPr>
      <w:rPr>
        <w:rFonts w:hint="default"/>
        <w:lang w:val="en-US" w:eastAsia="en-US" w:bidi="ar-SA"/>
      </w:rPr>
    </w:lvl>
    <w:lvl w:ilvl="6">
      <w:start w:val="0"/>
      <w:numFmt w:val="bullet"/>
      <w:lvlText w:val="•"/>
      <w:lvlJc w:val="left"/>
      <w:pPr>
        <w:ind w:left="9994" w:hanging="360"/>
      </w:pPr>
      <w:rPr>
        <w:rFonts w:hint="default"/>
        <w:lang w:val="en-US" w:eastAsia="en-US" w:bidi="ar-SA"/>
      </w:rPr>
    </w:lvl>
    <w:lvl w:ilvl="7">
      <w:start w:val="0"/>
      <w:numFmt w:val="bullet"/>
      <w:lvlText w:val="•"/>
      <w:lvlJc w:val="left"/>
      <w:pPr>
        <w:ind w:left="11479" w:hanging="360"/>
      </w:pPr>
      <w:rPr>
        <w:rFonts w:hint="default"/>
        <w:lang w:val="en-US" w:eastAsia="en-US" w:bidi="ar-SA"/>
      </w:rPr>
    </w:lvl>
    <w:lvl w:ilvl="8">
      <w:start w:val="0"/>
      <w:numFmt w:val="bullet"/>
      <w:lvlText w:val="•"/>
      <w:lvlJc w:val="left"/>
      <w:pPr>
        <w:ind w:left="12965" w:hanging="360"/>
      </w:pPr>
      <w:rPr>
        <w:rFonts w:hint="default"/>
        <w:lang w:val="en-U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BodyText" w:type="paragraph">
    <w:name w:val="Body Text"/>
    <w:basedOn w:val="Normal"/>
    <w:uiPriority w:val="1"/>
    <w:qFormat/>
    <w:pPr/>
    <w:rPr>
      <w:rFonts w:ascii="Arial" w:hAnsi="Arial" w:eastAsia="Arial" w:cs="Arial"/>
      <w:sz w:val="24"/>
      <w:szCs w:val="24"/>
      <w:lang w:val="en-US" w:eastAsia="en-US" w:bidi="ar-SA"/>
    </w:rPr>
  </w:style>
  <w:style w:styleId="Title" w:type="paragraph">
    <w:name w:val="Title"/>
    <w:basedOn w:val="Normal"/>
    <w:uiPriority w:val="1"/>
    <w:qFormat/>
    <w:pPr>
      <w:spacing w:before="169"/>
      <w:ind w:left="280"/>
    </w:pPr>
    <w:rPr>
      <w:rFonts w:ascii="Corbel" w:hAnsi="Corbel" w:eastAsia="Corbel" w:cs="Corbel"/>
      <w:b/>
      <w:bCs/>
      <w:sz w:val="32"/>
      <w:szCs w:val="32"/>
      <w:lang w:val="en-US" w:eastAsia="en-US" w:bidi="ar-SA"/>
    </w:rPr>
  </w:style>
  <w:style w:styleId="ListParagraph" w:type="paragraph">
    <w:name w:val="List Paragraph"/>
    <w:basedOn w:val="Normal"/>
    <w:uiPriority w:val="1"/>
    <w:qFormat/>
    <w:pPr>
      <w:spacing w:before="154"/>
      <w:ind w:left="1080" w:right="282" w:hanging="360"/>
    </w:pPr>
    <w:rPr>
      <w:rFonts w:ascii="Arial" w:hAnsi="Arial" w:eastAsia="Arial" w:cs="Arial"/>
      <w:lang w:val="en-US" w:eastAsia="en-US" w:bidi="ar-SA"/>
    </w:rPr>
  </w:style>
  <w:style w:styleId="TableParagraph" w:type="paragraph">
    <w:name w:val="Table Paragraph"/>
    <w:basedOn w:val="Normal"/>
    <w:uiPriority w:val="1"/>
    <w:qFormat/>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footer" Target="footer1.xml"/><Relationship Id="rId7" Type="http://schemas.openxmlformats.org/officeDocument/2006/relationships/image" Target="media/image2.png"/><Relationship Id="rId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Company/>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Deborah Ralls</dc:creator>
  <dcterms:created xsi:type="dcterms:W3CDTF">2022-10-11T09:03:21Z</dcterms:created>
  <dcterms:modified xsi:type="dcterms:W3CDTF">2022-10-11T09:03:21Z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TF10002065</vt:lpwstr>
  </property>
  <property fmtid="{D5CDD505-2E9C-101B-9397-08002B2CF9AE}" pid="3" name="ContentTypeId">
    <vt:lpwstr>0x0101009C467C137A7CDE448CB0A43503782328</vt:lpwstr>
  </property>
  <property fmtid="{D5CDD505-2E9C-101B-9397-08002B2CF9AE}" pid="4" name="Created">
    <vt:filetime>2022-10-11T00:00:00Z</vt:filetime>
  </property>
  <property fmtid="{D5CDD505-2E9C-101B-9397-08002B2CF9AE}" pid="5" name="Creator">
    <vt:lpwstr>Acrobat PDFMaker 22 for Word</vt:lpwstr>
  </property>
  <property fmtid="{D5CDD505-2E9C-101B-9397-08002B2CF9AE}" pid="6" name="LastSaved">
    <vt:filetime>2022-10-11T00:00:00Z</vt:filetime>
  </property>
  <property fmtid="{D5CDD505-2E9C-101B-9397-08002B2CF9AE}" pid="7" name="Producer">
    <vt:lpwstr>Adobe PDF Library 22.2.244</vt:lpwstr>
  </property>
  <property fmtid="{D5CDD505-2E9C-101B-9397-08002B2CF9AE}" pid="8" name="SourceModified">
    <vt:lpwstr/>
  </property>
</Properties>
</file>